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0C5" w:rsidRDefault="00817666" w:rsidP="005E7163">
      <w:pPr>
        <w:spacing w:line="360" w:lineRule="auto"/>
        <w:jc w:val="both"/>
        <w:rPr>
          <w:b/>
          <w:bCs/>
        </w:rPr>
      </w:pPr>
      <w:r>
        <w:rPr>
          <w:b/>
          <w:bCs/>
        </w:rPr>
        <w:t xml:space="preserve">ICMS VERDE </w:t>
      </w:r>
      <w:r w:rsidR="00C82944">
        <w:rPr>
          <w:b/>
          <w:bCs/>
        </w:rPr>
        <w:t xml:space="preserve">COMO MECANISMO DE TRANSFERÊNCIA FISCAL </w:t>
      </w:r>
      <w:r>
        <w:rPr>
          <w:b/>
          <w:bCs/>
        </w:rPr>
        <w:t>PARA GESTÃO DE BASE COMUM DE RECURSOS: Evidências Contábeis</w:t>
      </w:r>
    </w:p>
    <w:p w:rsidR="00DD3906" w:rsidRDefault="00DD3906" w:rsidP="005E7163">
      <w:pPr>
        <w:spacing w:line="360" w:lineRule="auto"/>
        <w:jc w:val="both"/>
        <w:rPr>
          <w:b/>
          <w:bCs/>
        </w:rPr>
      </w:pPr>
    </w:p>
    <w:p w:rsidR="00161F53" w:rsidRDefault="00161F53" w:rsidP="005E7163">
      <w:pPr>
        <w:spacing w:line="360" w:lineRule="auto"/>
        <w:jc w:val="both"/>
        <w:rPr>
          <w:b/>
          <w:bCs/>
        </w:rPr>
      </w:pPr>
      <w:r>
        <w:rPr>
          <w:b/>
          <w:bCs/>
        </w:rPr>
        <w:t xml:space="preserve">Resumo </w:t>
      </w:r>
    </w:p>
    <w:p w:rsidR="00427015" w:rsidRPr="00862742" w:rsidRDefault="00BE36D0" w:rsidP="00E77884">
      <w:pPr>
        <w:autoSpaceDE w:val="0"/>
        <w:autoSpaceDN w:val="0"/>
        <w:adjustRightInd w:val="0"/>
        <w:jc w:val="both"/>
      </w:pPr>
      <w:r w:rsidRPr="00543A8D">
        <w:rPr>
          <w:bCs/>
        </w:rPr>
        <w:t xml:space="preserve">O presente artigo tem por objetivo </w:t>
      </w:r>
      <w:r w:rsidRPr="00543A8D">
        <w:t xml:space="preserve">fazer um estudo sobre o ICMS-V nos municípios do estado do Pará, esta pesquisa parte de inquietações a partir da aprovação da Lei e regulamentações posteriores. Foi feito uma pesquisa de cunho exploratório por se tratar de um instrumento relativamente novo em termos de aplicação no Estado do Pará. Utilizou-se </w:t>
      </w:r>
      <w:r w:rsidR="00896B14" w:rsidRPr="00543A8D">
        <w:t>a pesquisa documental e dad</w:t>
      </w:r>
      <w:r w:rsidR="00896B14">
        <w:t>os</w:t>
      </w:r>
      <w:r w:rsidR="00896B14" w:rsidRPr="00543A8D">
        <w:t xml:space="preserve"> secundários retirada de sites oficiais</w:t>
      </w:r>
      <w:r w:rsidR="00896B14">
        <w:t xml:space="preserve"> </w:t>
      </w:r>
      <w:r w:rsidRPr="00543A8D">
        <w:t>(</w:t>
      </w:r>
      <w:proofErr w:type="spellStart"/>
      <w:r w:rsidRPr="00543A8D">
        <w:t>Sefa</w:t>
      </w:r>
      <w:proofErr w:type="spellEnd"/>
      <w:r w:rsidRPr="00543A8D">
        <w:t xml:space="preserve"> e Programa Municípios Verdes). Adicionalmente, utilizou-se uma abordagem quantitativa com a utilização do coeficiente de correlação de Pearson efetuado no software SPSS. As variáveis utilizadas foram: a) Cota-parte de repasse de ICMS-V cuja</w:t>
      </w:r>
      <w:r w:rsidR="009D4DFC">
        <w:t xml:space="preserve"> </w:t>
      </w:r>
      <w:r w:rsidRPr="00543A8D">
        <w:t xml:space="preserve">fonte foi o site do Programa Municípios Verdes, b) Incremento de Queimadas cuja fonte foi o Projeto </w:t>
      </w:r>
      <w:proofErr w:type="spellStart"/>
      <w:r w:rsidRPr="00543A8D">
        <w:t>Prodes</w:t>
      </w:r>
      <w:proofErr w:type="spellEnd"/>
      <w:r w:rsidRPr="00543A8D">
        <w:t xml:space="preserve">/INPE, c) Áreas Protegidas, d) Unidades de Conservação e </w:t>
      </w:r>
      <w:proofErr w:type="spellStart"/>
      <w:r w:rsidRPr="00543A8D">
        <w:t>e</w:t>
      </w:r>
      <w:proofErr w:type="spellEnd"/>
      <w:r w:rsidRPr="00543A8D">
        <w:t>) Terras indígenas, as últimas cujas fontes foram o Zoneamento Ecológico-Econômico do Estado do Pará. Os resultados observados para a correlação das va</w:t>
      </w:r>
      <w:r w:rsidR="00423C04">
        <w:t xml:space="preserve">riáveis selecionadas confirmam </w:t>
      </w:r>
      <w:r w:rsidRPr="00543A8D">
        <w:t>que é pressuposta entre o valor do ICMS-V repassado aos municípios e seus respectivos desempenhos na questão da preservação de suas áreas protegidas, posto que os valores apresentados para o ICMS-V para o exercício de 2014.</w:t>
      </w:r>
      <w:r w:rsidR="00E77884">
        <w:t xml:space="preserve"> </w:t>
      </w:r>
      <w:r w:rsidR="009D4DFC" w:rsidRPr="002E475B">
        <w:t xml:space="preserve">As Unidades de Conservação, consideradas nessa pesquisa como base comum de recurso são </w:t>
      </w:r>
      <w:r w:rsidR="00E77884" w:rsidRPr="002E475B">
        <w:t>abundantes</w:t>
      </w:r>
      <w:r w:rsidR="009D4DFC" w:rsidRPr="002E475B">
        <w:t xml:space="preserve"> no Estado do Pará e estão presentes em cerca de 60% dos municípios.  Nesse contexto o ICMS-V assume o pressuposto de ser um incentivo fiscal para a preservação ambiental</w:t>
      </w:r>
      <w:r w:rsidR="00427015">
        <w:t>.</w:t>
      </w:r>
    </w:p>
    <w:p w:rsidR="00427015" w:rsidRDefault="00427015" w:rsidP="00427015">
      <w:pPr>
        <w:rPr>
          <w:color w:val="000000"/>
          <w:shd w:val="clear" w:color="auto" w:fill="FFFFFF"/>
        </w:rPr>
      </w:pPr>
    </w:p>
    <w:p w:rsidR="00427015" w:rsidRDefault="00DE79A0" w:rsidP="00427015">
      <w:pPr>
        <w:rPr>
          <w:bCs/>
        </w:rPr>
      </w:pPr>
      <w:r w:rsidRPr="003B6AEA">
        <w:rPr>
          <w:b/>
          <w:color w:val="000000"/>
        </w:rPr>
        <w:t>Palavras-chave:</w:t>
      </w:r>
      <w:r w:rsidRPr="003B6AEA">
        <w:rPr>
          <w:color w:val="000000"/>
        </w:rPr>
        <w:t xml:space="preserve"> </w:t>
      </w:r>
      <w:r w:rsidR="00427015" w:rsidRPr="00427015">
        <w:rPr>
          <w:bCs/>
        </w:rPr>
        <w:t>ICMS Verde (ICMS-V), Unidade de conservação (UC),</w:t>
      </w:r>
      <w:r w:rsidR="00427015">
        <w:rPr>
          <w:b/>
          <w:bCs/>
        </w:rPr>
        <w:t xml:space="preserve"> </w:t>
      </w:r>
      <w:r w:rsidR="00427015" w:rsidRPr="00427015">
        <w:rPr>
          <w:bCs/>
        </w:rPr>
        <w:t>Áreas de preservação.</w:t>
      </w:r>
    </w:p>
    <w:p w:rsidR="00DD3906" w:rsidRDefault="00DD3906" w:rsidP="00427015">
      <w:pPr>
        <w:rPr>
          <w:bCs/>
        </w:rPr>
      </w:pPr>
    </w:p>
    <w:p w:rsidR="00423C04" w:rsidRPr="003B6AEA" w:rsidRDefault="00423C04" w:rsidP="00427015">
      <w:pPr>
        <w:rPr>
          <w:b/>
          <w:color w:val="000000"/>
        </w:rPr>
      </w:pPr>
    </w:p>
    <w:p w:rsidR="00543A8D" w:rsidRDefault="00543A8D" w:rsidP="00543A8D">
      <w:pPr>
        <w:pStyle w:val="SemEspaamento"/>
        <w:tabs>
          <w:tab w:val="left" w:leader="hyphen" w:pos="9072"/>
        </w:tabs>
        <w:rPr>
          <w:rFonts w:ascii="Times New Roman" w:hAnsi="Times New Roman"/>
          <w:b/>
          <w:sz w:val="24"/>
          <w:szCs w:val="24"/>
        </w:rPr>
      </w:pPr>
      <w:r w:rsidRPr="00DD3906">
        <w:rPr>
          <w:rFonts w:ascii="Times New Roman" w:hAnsi="Times New Roman"/>
          <w:b/>
          <w:sz w:val="24"/>
          <w:szCs w:val="24"/>
        </w:rPr>
        <w:t xml:space="preserve">Eixo Temático </w:t>
      </w:r>
      <w:r w:rsidR="00423C04" w:rsidRPr="00DD3906">
        <w:rPr>
          <w:rFonts w:ascii="Times New Roman" w:hAnsi="Times New Roman"/>
          <w:b/>
          <w:sz w:val="24"/>
          <w:szCs w:val="24"/>
        </w:rPr>
        <w:t>5.</w:t>
      </w:r>
      <w:r w:rsidRPr="00DD3906">
        <w:rPr>
          <w:rFonts w:ascii="Times New Roman" w:hAnsi="Times New Roman"/>
          <w:b/>
          <w:sz w:val="24"/>
          <w:szCs w:val="24"/>
        </w:rPr>
        <w:t xml:space="preserve"> </w:t>
      </w:r>
      <w:r w:rsidR="00896B14" w:rsidRPr="00DD3906">
        <w:rPr>
          <w:rFonts w:ascii="Times New Roman" w:hAnsi="Times New Roman"/>
          <w:b/>
          <w:sz w:val="24"/>
          <w:szCs w:val="24"/>
        </w:rPr>
        <w:t>Trabalhos</w:t>
      </w:r>
      <w:r w:rsidRPr="00DD3906">
        <w:rPr>
          <w:rFonts w:ascii="Times New Roman" w:hAnsi="Times New Roman"/>
          <w:b/>
          <w:sz w:val="24"/>
          <w:szCs w:val="24"/>
        </w:rPr>
        <w:t xml:space="preserve"> de conclusão de </w:t>
      </w:r>
      <w:r w:rsidR="00BF47C7" w:rsidRPr="00DD3906">
        <w:rPr>
          <w:rFonts w:ascii="Times New Roman" w:hAnsi="Times New Roman"/>
          <w:b/>
          <w:sz w:val="24"/>
          <w:szCs w:val="24"/>
        </w:rPr>
        <w:t>graduação</w:t>
      </w:r>
      <w:r w:rsidR="00423C04" w:rsidRPr="00DD3906">
        <w:rPr>
          <w:rFonts w:ascii="Times New Roman" w:hAnsi="Times New Roman"/>
          <w:b/>
          <w:sz w:val="24"/>
          <w:szCs w:val="24"/>
        </w:rPr>
        <w:t xml:space="preserve"> e Iniciação científica.</w:t>
      </w:r>
    </w:p>
    <w:p w:rsidR="00DD3906" w:rsidRPr="00DD3906" w:rsidRDefault="00DD3906" w:rsidP="00543A8D">
      <w:pPr>
        <w:pStyle w:val="SemEspaamento"/>
        <w:tabs>
          <w:tab w:val="left" w:leader="hyphen" w:pos="9072"/>
        </w:tabs>
        <w:rPr>
          <w:rFonts w:ascii="Times New Roman" w:hAnsi="Times New Roman"/>
          <w:b/>
          <w:sz w:val="24"/>
          <w:szCs w:val="24"/>
        </w:rPr>
      </w:pPr>
    </w:p>
    <w:p w:rsidR="00161F53" w:rsidRDefault="00161F53" w:rsidP="005E7163">
      <w:pPr>
        <w:spacing w:line="360" w:lineRule="auto"/>
        <w:jc w:val="both"/>
        <w:rPr>
          <w:b/>
          <w:bCs/>
        </w:rPr>
      </w:pPr>
    </w:p>
    <w:p w:rsidR="002D10B6" w:rsidRPr="002E475B" w:rsidRDefault="00CA3E55" w:rsidP="00CA3E55">
      <w:pPr>
        <w:pStyle w:val="PargrafodaLista"/>
        <w:numPr>
          <w:ilvl w:val="0"/>
          <w:numId w:val="4"/>
        </w:numPr>
        <w:spacing w:line="360" w:lineRule="auto"/>
        <w:ind w:left="0" w:firstLine="0"/>
        <w:jc w:val="both"/>
        <w:rPr>
          <w:rFonts w:ascii="Times New Roman" w:hAnsi="Times New Roman"/>
          <w:b/>
          <w:sz w:val="24"/>
          <w:szCs w:val="24"/>
        </w:rPr>
      </w:pPr>
      <w:r w:rsidRPr="002E475B">
        <w:rPr>
          <w:rFonts w:ascii="Times New Roman" w:hAnsi="Times New Roman"/>
          <w:b/>
          <w:sz w:val="24"/>
          <w:szCs w:val="24"/>
        </w:rPr>
        <w:t>INTRODUÇÃO</w:t>
      </w:r>
    </w:p>
    <w:p w:rsidR="007F30D8" w:rsidRPr="002E475B" w:rsidRDefault="008815CF" w:rsidP="0078321F">
      <w:pPr>
        <w:jc w:val="both"/>
      </w:pPr>
      <w:r w:rsidRPr="002E475B">
        <w:t>O</w:t>
      </w:r>
      <w:r w:rsidR="00784251" w:rsidRPr="002E475B">
        <w:t xml:space="preserve"> ICMS </w:t>
      </w:r>
      <w:r w:rsidRPr="002E475B">
        <w:t>Verde</w:t>
      </w:r>
      <w:r w:rsidR="00DE4FC8" w:rsidRPr="002E475B">
        <w:t xml:space="preserve"> (ICMS-</w:t>
      </w:r>
      <w:r w:rsidRPr="002E475B">
        <w:t>V</w:t>
      </w:r>
      <w:r w:rsidR="000557A1" w:rsidRPr="002E475B">
        <w:t>)</w:t>
      </w:r>
      <w:r w:rsidR="002F265C" w:rsidRPr="002E475B">
        <w:t xml:space="preserve"> é</w:t>
      </w:r>
      <w:r w:rsidR="006410C5" w:rsidRPr="002E475B">
        <w:t xml:space="preserve"> </w:t>
      </w:r>
      <w:r w:rsidR="00955A95" w:rsidRPr="002E475B">
        <w:t xml:space="preserve">um instrumento de política ambiental de cunho regulador, que </w:t>
      </w:r>
      <w:r w:rsidR="007F30D8" w:rsidRPr="002E475B">
        <w:t>introdu</w:t>
      </w:r>
      <w:r w:rsidR="00955A95" w:rsidRPr="002E475B">
        <w:t>z</w:t>
      </w:r>
      <w:r w:rsidR="00D657F2" w:rsidRPr="002E475B">
        <w:t xml:space="preserve"> um</w:t>
      </w:r>
      <w:r w:rsidR="007F30D8" w:rsidRPr="002E475B">
        <w:t xml:space="preserve"> critério ambiental para distribuição </w:t>
      </w:r>
      <w:r w:rsidR="00D657F2" w:rsidRPr="002E475B">
        <w:t>da receita</w:t>
      </w:r>
      <w:r w:rsidR="007F30D8" w:rsidRPr="002E475B">
        <w:t xml:space="preserve"> de </w:t>
      </w:r>
      <w:r w:rsidR="00955A95" w:rsidRPr="002E475B">
        <w:t>Imposto sobre Operações relativas à Circulação de Mercadorias e sobre Prestações de Serviços de Transporte Interestadual e Intermunicipal e de Comunicação (</w:t>
      </w:r>
      <w:r w:rsidR="007F30D8" w:rsidRPr="002E475B">
        <w:t>ICMS</w:t>
      </w:r>
      <w:r w:rsidR="00955A95" w:rsidRPr="002E475B">
        <w:t>)</w:t>
      </w:r>
      <w:r w:rsidR="007F30D8" w:rsidRPr="002E475B">
        <w:t xml:space="preserve"> a que os municípios têm direito. </w:t>
      </w:r>
      <w:r w:rsidR="00D657F2" w:rsidRPr="002E475B">
        <w:t>No decorrer de 15 anos de exis</w:t>
      </w:r>
      <w:r w:rsidR="00955A95" w:rsidRPr="002E475B">
        <w:t xml:space="preserve">tência, sua abordagem </w:t>
      </w:r>
      <w:r w:rsidR="0098413D" w:rsidRPr="002E475B">
        <w:t>vai</w:t>
      </w:r>
      <w:r w:rsidR="00955A95" w:rsidRPr="002E475B">
        <w:t xml:space="preserve"> da </w:t>
      </w:r>
      <w:r w:rsidR="007F30D8" w:rsidRPr="002E475B">
        <w:t>busca de alternativas para o financiamento público em municípios cujas restrições ao uso do solo impedem que sejam desenvolvidas atividades econômicas clássicas</w:t>
      </w:r>
      <w:r w:rsidR="00955A95" w:rsidRPr="002E475B">
        <w:t xml:space="preserve"> </w:t>
      </w:r>
      <w:r w:rsidR="000557A1" w:rsidRPr="002E475B">
        <w:t>a</w:t>
      </w:r>
      <w:r w:rsidR="00955A95" w:rsidRPr="002E475B">
        <w:t xml:space="preserve"> </w:t>
      </w:r>
      <w:r w:rsidR="007F30D8" w:rsidRPr="002E475B">
        <w:t xml:space="preserve">um instrumento de incentivo </w:t>
      </w:r>
      <w:r w:rsidR="009609BA" w:rsidRPr="002E475B">
        <w:t>da</w:t>
      </w:r>
      <w:r w:rsidR="007F30D8" w:rsidRPr="002E475B">
        <w:t xml:space="preserve"> preservação </w:t>
      </w:r>
      <w:r w:rsidR="000557A1" w:rsidRPr="002E475B">
        <w:t xml:space="preserve">e </w:t>
      </w:r>
      <w:r w:rsidR="006410C5" w:rsidRPr="002E475B">
        <w:t xml:space="preserve">ainda, </w:t>
      </w:r>
      <w:r w:rsidR="009609BA" w:rsidRPr="002E475B">
        <w:t>a</w:t>
      </w:r>
      <w:r w:rsidR="0098413D" w:rsidRPr="002E475B">
        <w:t xml:space="preserve"> </w:t>
      </w:r>
      <w:r w:rsidR="00FE17CF" w:rsidRPr="002E475B">
        <w:t xml:space="preserve">uma abordagem de </w:t>
      </w:r>
      <w:r w:rsidR="006410C5" w:rsidRPr="002E475B">
        <w:t xml:space="preserve">que </w:t>
      </w:r>
      <w:r w:rsidR="007F30D8" w:rsidRPr="002E475B">
        <w:t>possa servir de remuneração pelos serviços ambientais.</w:t>
      </w:r>
    </w:p>
    <w:p w:rsidR="000557A1" w:rsidRPr="002E475B" w:rsidRDefault="000557A1" w:rsidP="0078321F">
      <w:pPr>
        <w:jc w:val="both"/>
      </w:pPr>
      <w:r w:rsidRPr="002E475B">
        <w:t xml:space="preserve">No Pará, </w:t>
      </w:r>
      <w:r w:rsidR="00DE4FC8" w:rsidRPr="002E475B">
        <w:t>a construção institucional ICMS-</w:t>
      </w:r>
      <w:r w:rsidR="00DE79A0" w:rsidRPr="002E475B">
        <w:t>V</w:t>
      </w:r>
      <w:r w:rsidRPr="002E475B">
        <w:t xml:space="preserve"> </w:t>
      </w:r>
      <w:r w:rsidR="002F265C" w:rsidRPr="002E475B">
        <w:t>interfere</w:t>
      </w:r>
      <w:r w:rsidRPr="002E475B">
        <w:t xml:space="preserve"> além da distribuição de receita pública advinda do ICMS, na dinâmica do controle de desmatamento, na regularização ambiental das propriedades e posses rurais por meio do Cadastro Ambiental Rural (CAR), até </w:t>
      </w:r>
      <w:r w:rsidR="0098413D" w:rsidRPr="002E475B">
        <w:t>n</w:t>
      </w:r>
      <w:r w:rsidRPr="002E475B">
        <w:t>a configuração da institucionalização e gestão de áreas protegidas pelos municípios. Todas essas inst</w:t>
      </w:r>
      <w:r w:rsidR="009609BA" w:rsidRPr="002E475B">
        <w:t>â</w:t>
      </w:r>
      <w:r w:rsidRPr="002E475B">
        <w:t xml:space="preserve">ncias provocam limitações, contribuições e implicações para o </w:t>
      </w:r>
      <w:r w:rsidR="005C151D" w:rsidRPr="002E475B">
        <w:t xml:space="preserve">desencadeamento do </w:t>
      </w:r>
      <w:r w:rsidRPr="002E475B">
        <w:t>desenvolvimento dos municípios paraenses.</w:t>
      </w:r>
    </w:p>
    <w:p w:rsidR="00B42371" w:rsidRPr="002E475B" w:rsidRDefault="00B42371" w:rsidP="0078321F">
      <w:pPr>
        <w:jc w:val="both"/>
        <w:rPr>
          <w:rFonts w:eastAsia="Calibri"/>
          <w:bCs/>
        </w:rPr>
      </w:pPr>
      <w:r w:rsidRPr="002E475B">
        <w:lastRenderedPageBreak/>
        <w:t xml:space="preserve">Enquanto países do mundo inteiro estão buscando melhorias para o manejo florestal, as florestas abundantes na Amazônia Paraense, região a qual se delimita este estudo, vêm cada vez mais sendo colocadas sob proteção. Essa proteção tem sido feita através de legislação e inclui a medição e monitoramento dos recursos florestais e um maior envolvimento das comunidades locais no planejamento e nas políticas de desenvolvimento (FAO, 2015). Quanto ao uso dessas áreas, cabe destacar que, no mundo inteiro, mesmo que a maioria das florestas permaneça propriedade pública, a apropriação por indivíduos e </w:t>
      </w:r>
      <w:r w:rsidRPr="002E475B">
        <w:rPr>
          <w:rFonts w:eastAsia="Calibri"/>
          <w:bCs/>
        </w:rPr>
        <w:t xml:space="preserve">comunidades aumentou, salientando-se a importância de práticas sustentáveis de manejo florestal (FAO, 2015). No entanto, as florestas de propriedade privada e de outras formas de propriedade estão aumentando, e o poder público muitas vezes reserva áreas para uso por comunidades (AGRAWAL, 2007). </w:t>
      </w:r>
    </w:p>
    <w:p w:rsidR="00684EAD" w:rsidRDefault="00B42371" w:rsidP="0078321F">
      <w:pPr>
        <w:autoSpaceDE w:val="0"/>
        <w:autoSpaceDN w:val="0"/>
        <w:adjustRightInd w:val="0"/>
        <w:jc w:val="both"/>
        <w:rPr>
          <w:rFonts w:eastAsia="Calibri"/>
          <w:bCs/>
        </w:rPr>
      </w:pPr>
      <w:r w:rsidRPr="002E475B">
        <w:rPr>
          <w:rFonts w:eastAsia="Calibri"/>
          <w:bCs/>
        </w:rPr>
        <w:t xml:space="preserve">As florestas se enquadram no concito de </w:t>
      </w:r>
      <w:r w:rsidR="00593513" w:rsidRPr="002E475B">
        <w:rPr>
          <w:rFonts w:eastAsia="Calibri"/>
          <w:bCs/>
        </w:rPr>
        <w:t>base comum de recurso “</w:t>
      </w:r>
      <w:r w:rsidR="00593513" w:rsidRPr="002E475B">
        <w:rPr>
          <w:rFonts w:eastAsia="Calibri"/>
          <w:bCs/>
          <w:i/>
        </w:rPr>
        <w:t xml:space="preserve">Common Pool </w:t>
      </w:r>
      <w:proofErr w:type="spellStart"/>
      <w:r w:rsidR="00593513" w:rsidRPr="002E475B">
        <w:rPr>
          <w:rFonts w:eastAsia="Calibri"/>
          <w:bCs/>
          <w:i/>
        </w:rPr>
        <w:t>Resources</w:t>
      </w:r>
      <w:proofErr w:type="spellEnd"/>
      <w:r w:rsidR="00593513" w:rsidRPr="002E475B">
        <w:rPr>
          <w:rFonts w:eastAsia="Calibri"/>
          <w:bCs/>
          <w:i/>
        </w:rPr>
        <w:t xml:space="preserve"> (CPR)”. </w:t>
      </w:r>
      <w:r w:rsidR="00593513" w:rsidRPr="002E475B">
        <w:rPr>
          <w:rFonts w:eastAsia="Calibri"/>
          <w:bCs/>
        </w:rPr>
        <w:t xml:space="preserve">Isso </w:t>
      </w:r>
      <w:r w:rsidR="00593513" w:rsidRPr="002E475B">
        <w:t xml:space="preserve">porque </w:t>
      </w:r>
      <w:r w:rsidR="00684EAD" w:rsidRPr="002E475B">
        <w:rPr>
          <w:rFonts w:eastAsia="Calibri"/>
          <w:bCs/>
        </w:rPr>
        <w:t>estes</w:t>
      </w:r>
      <w:r w:rsidR="00684EAD" w:rsidRPr="002E475B">
        <w:rPr>
          <w:rFonts w:eastAsia="Calibri"/>
          <w:bCs/>
          <w:i/>
        </w:rPr>
        <w:t xml:space="preserve"> </w:t>
      </w:r>
      <w:r w:rsidR="00684EAD" w:rsidRPr="002E475B">
        <w:rPr>
          <w:rFonts w:eastAsia="Calibri"/>
          <w:bCs/>
        </w:rPr>
        <w:t>possuem duas características (</w:t>
      </w:r>
      <w:proofErr w:type="spellStart"/>
      <w:r w:rsidR="00684EAD" w:rsidRPr="002E475B">
        <w:rPr>
          <w:rFonts w:eastAsia="Calibri"/>
          <w:bCs/>
        </w:rPr>
        <w:t>McKean</w:t>
      </w:r>
      <w:proofErr w:type="spellEnd"/>
      <w:r w:rsidR="00684EAD" w:rsidRPr="002E475B">
        <w:rPr>
          <w:rFonts w:eastAsia="Calibri"/>
          <w:bCs/>
        </w:rPr>
        <w:t xml:space="preserve">; </w:t>
      </w:r>
      <w:proofErr w:type="spellStart"/>
      <w:r w:rsidR="00684EAD" w:rsidRPr="002E475B">
        <w:rPr>
          <w:rFonts w:eastAsia="Calibri"/>
          <w:bCs/>
        </w:rPr>
        <w:t>Ostrom</w:t>
      </w:r>
      <w:proofErr w:type="spellEnd"/>
      <w:r w:rsidR="00684EAD" w:rsidRPr="002E475B">
        <w:rPr>
          <w:rFonts w:eastAsia="Calibri"/>
          <w:bCs/>
        </w:rPr>
        <w:t xml:space="preserve">, 2011): primeiro, há dificuldade para o desenvolvimento de instrumentos de exclusão dos potenciais beneficiários, demandando custos para as soluções dessas dificuldades, implicando em possibilidade de uso predatório, caso não haja incentivo para a preservação e manejo; segundo, unidades de recursos exploradas por um indivíduo não estarão mais disponíveis para outros, ou seja, são </w:t>
      </w:r>
      <w:proofErr w:type="spellStart"/>
      <w:r w:rsidR="00684EAD" w:rsidRPr="002E475B">
        <w:rPr>
          <w:rFonts w:eastAsia="Calibri"/>
          <w:bCs/>
        </w:rPr>
        <w:t>subtraíveis</w:t>
      </w:r>
      <w:proofErr w:type="spellEnd"/>
      <w:r w:rsidR="00684EAD" w:rsidRPr="002E475B">
        <w:rPr>
          <w:rFonts w:eastAsia="Calibri"/>
          <w:bCs/>
        </w:rPr>
        <w:t xml:space="preserve"> ou concorrentes no consumo</w:t>
      </w:r>
      <w:r w:rsidR="00684EAD" w:rsidRPr="008539DB">
        <w:rPr>
          <w:rFonts w:eastAsia="Calibri"/>
          <w:bCs/>
        </w:rPr>
        <w:t xml:space="preserve">, e, assim, exauridos. </w:t>
      </w:r>
    </w:p>
    <w:p w:rsidR="00684EAD" w:rsidRPr="008539DB" w:rsidRDefault="00684EAD" w:rsidP="0078321F">
      <w:pPr>
        <w:autoSpaceDE w:val="0"/>
        <w:autoSpaceDN w:val="0"/>
        <w:adjustRightInd w:val="0"/>
        <w:jc w:val="both"/>
        <w:rPr>
          <w:rFonts w:eastAsia="Calibri"/>
          <w:bCs/>
          <w:i/>
        </w:rPr>
      </w:pPr>
      <w:r w:rsidRPr="008539DB">
        <w:rPr>
          <w:rFonts w:eastAsia="Calibri"/>
          <w:bCs/>
        </w:rPr>
        <w:t xml:space="preserve">Em âmbito brasileiro, há </w:t>
      </w:r>
      <w:r>
        <w:rPr>
          <w:rFonts w:eastAsia="Calibri"/>
          <w:bCs/>
        </w:rPr>
        <w:t>o modelo de base comum de recursos concebido como U</w:t>
      </w:r>
      <w:r w:rsidRPr="008539DB">
        <w:rPr>
          <w:rFonts w:eastAsia="Calibri"/>
          <w:bCs/>
        </w:rPr>
        <w:t>nidade de Conservação (UC), ou seja, um espaço territorial com seus recursos ambientais, incluindo as águas jurisdicionais, com características naturais relevantes (BRASIL, 2000). É regulamentad</w:t>
      </w:r>
      <w:r>
        <w:rPr>
          <w:rFonts w:eastAsia="Calibri"/>
          <w:bCs/>
        </w:rPr>
        <w:t>o</w:t>
      </w:r>
      <w:r w:rsidRPr="008539DB">
        <w:rPr>
          <w:rFonts w:eastAsia="Calibri"/>
          <w:bCs/>
        </w:rPr>
        <w:t xml:space="preserve"> pelo Sistema Nacional de Unidades de Conservação (SNUC), considerad</w:t>
      </w:r>
      <w:r>
        <w:rPr>
          <w:rFonts w:eastAsia="Calibri"/>
          <w:bCs/>
        </w:rPr>
        <w:t xml:space="preserve">o </w:t>
      </w:r>
      <w:r w:rsidRPr="008539DB">
        <w:rPr>
          <w:rFonts w:eastAsia="Calibri"/>
          <w:bCs/>
        </w:rPr>
        <w:t xml:space="preserve">como “bem de uso comum” (BRASIL, 1988), de livre acesso (OSTROM, 1990; HARDIN, 1968) e </w:t>
      </w:r>
      <w:r>
        <w:rPr>
          <w:rFonts w:eastAsia="Calibri"/>
          <w:bCs/>
        </w:rPr>
        <w:t xml:space="preserve">no caso das Reservas Extrativistas (RESEX) e das Reservas de Desenvolvimento Sustentável </w:t>
      </w:r>
      <w:r w:rsidRPr="008539DB">
        <w:rPr>
          <w:rFonts w:eastAsia="Calibri"/>
          <w:bCs/>
        </w:rPr>
        <w:t>propriedade comunal</w:t>
      </w:r>
      <w:r>
        <w:rPr>
          <w:rFonts w:eastAsia="Calibri"/>
          <w:bCs/>
        </w:rPr>
        <w:t xml:space="preserve"> pela existência de comunidades</w:t>
      </w:r>
      <w:r w:rsidRPr="008539DB">
        <w:rPr>
          <w:rFonts w:eastAsia="Calibri"/>
          <w:bCs/>
        </w:rPr>
        <w:t xml:space="preserve"> (FEARNSIDE apud DIEGUES, 2001) tendendo a ser sobre exploradas</w:t>
      </w:r>
      <w:r w:rsidRPr="008539DB">
        <w:rPr>
          <w:rFonts w:eastAsia="Calibri"/>
          <w:bCs/>
          <w:i/>
        </w:rPr>
        <w:t xml:space="preserve">. </w:t>
      </w:r>
    </w:p>
    <w:p w:rsidR="0098413D" w:rsidRPr="00DE4FC8" w:rsidRDefault="0098413D" w:rsidP="0078321F">
      <w:pPr>
        <w:jc w:val="both"/>
      </w:pPr>
      <w:r w:rsidRPr="00DE4FC8">
        <w:t>Assim, ass</w:t>
      </w:r>
      <w:r w:rsidR="00DE4FC8">
        <w:t>ume-se a hipótese de que o ICMS-</w:t>
      </w:r>
      <w:r w:rsidRPr="00DE4FC8">
        <w:t>E, entendido como um mecanismo de transferência fiscal ecológica</w:t>
      </w:r>
      <w:r w:rsidR="00367023">
        <w:t xml:space="preserve"> que é</w:t>
      </w:r>
      <w:r w:rsidRPr="00DE4FC8">
        <w:t xml:space="preserve"> implementado objetivando reduzir a perda de biodiversidade (FÉRES; MARCHAND;</w:t>
      </w:r>
      <w:r w:rsidR="00367023">
        <w:t xml:space="preserve"> </w:t>
      </w:r>
      <w:r w:rsidRPr="00DE4FC8">
        <w:t>SAUQUET, 2014</w:t>
      </w:r>
      <w:r w:rsidR="007A1D96">
        <w:t>)</w:t>
      </w:r>
      <w:r w:rsidR="00C82944">
        <w:t>.</w:t>
      </w:r>
    </w:p>
    <w:p w:rsidR="0098413D" w:rsidRPr="00DE4FC8" w:rsidRDefault="0098413D" w:rsidP="0078321F">
      <w:pPr>
        <w:jc w:val="both"/>
      </w:pPr>
      <w:r w:rsidRPr="000B5911">
        <w:t>Dessa forma</w:t>
      </w:r>
      <w:r w:rsidR="000B5911">
        <w:t>, questiona-se quais os limites e potencialidades</w:t>
      </w:r>
      <w:r w:rsidR="00153B39" w:rsidRPr="00DE4FC8">
        <w:t xml:space="preserve"> </w:t>
      </w:r>
      <w:r w:rsidR="000B5911">
        <w:t xml:space="preserve">do </w:t>
      </w:r>
      <w:r w:rsidR="00153B39" w:rsidRPr="00DE4FC8">
        <w:t>ICMS</w:t>
      </w:r>
      <w:r w:rsidR="000B5911">
        <w:t>-V na receita pública dos Municípios do</w:t>
      </w:r>
      <w:r w:rsidR="00153B39" w:rsidRPr="00DE4FC8">
        <w:t xml:space="preserve"> Estado do Par</w:t>
      </w:r>
      <w:r w:rsidR="000B5911">
        <w:t>á</w:t>
      </w:r>
      <w:r w:rsidR="00153B39" w:rsidRPr="00DE4FC8">
        <w:t>?</w:t>
      </w:r>
      <w:r w:rsidRPr="00DE4FC8">
        <w:t xml:space="preserve"> </w:t>
      </w:r>
    </w:p>
    <w:p w:rsidR="0056006F" w:rsidRPr="00DE4FC8" w:rsidRDefault="0098413D" w:rsidP="0078321F">
      <w:pPr>
        <w:jc w:val="both"/>
      </w:pPr>
      <w:r w:rsidRPr="00DE4FC8">
        <w:t>No Pará ICMS</w:t>
      </w:r>
      <w:r w:rsidR="00DE4FC8">
        <w:t>-</w:t>
      </w:r>
      <w:r w:rsidRPr="00DE4FC8">
        <w:t xml:space="preserve">V foi instituído em 2012 e regulamentado em 2013. </w:t>
      </w:r>
      <w:r w:rsidR="00E11E91" w:rsidRPr="00DE4FC8">
        <w:t>O funcionamento efetivo só se deu em janeiro de 2014</w:t>
      </w:r>
      <w:r w:rsidRPr="00DE4FC8">
        <w:t>,</w:t>
      </w:r>
      <w:r w:rsidR="00E11E91" w:rsidRPr="00DE4FC8">
        <w:t xml:space="preserve"> quando foram distribuíd</w:t>
      </w:r>
      <w:r w:rsidR="00DE4FC8">
        <w:t>os os valores relativos ao ICMS-</w:t>
      </w:r>
      <w:r w:rsidR="00E11E91" w:rsidRPr="00DE4FC8">
        <w:t>V por meio de cotas-parte de ICMS estabelecidas no exercício financeiro de 2013. Entende-se que é demasiadamente cedo para analisar os resultados de tal política. Porém, a</w:t>
      </w:r>
      <w:r w:rsidRPr="00DE4FC8">
        <w:t xml:space="preserve"> resposta para </w:t>
      </w:r>
      <w:r w:rsidR="00E11E91" w:rsidRPr="00DE4FC8">
        <w:t xml:space="preserve">a </w:t>
      </w:r>
      <w:r w:rsidRPr="00DE4FC8">
        <w:t>problemática</w:t>
      </w:r>
      <w:r w:rsidR="00E11E91" w:rsidRPr="00DE4FC8">
        <w:t xml:space="preserve"> levantada </w:t>
      </w:r>
      <w:r w:rsidRPr="00DE4FC8">
        <w:t>possui o objetivo de subsidiar a problematização que culminará em pesquisas futuras.</w:t>
      </w:r>
      <w:r w:rsidR="00153B39" w:rsidRPr="00DE4FC8">
        <w:t xml:space="preserve"> </w:t>
      </w:r>
    </w:p>
    <w:p w:rsidR="0034542B" w:rsidRPr="00DE79A0" w:rsidRDefault="00D34879" w:rsidP="0078321F">
      <w:pPr>
        <w:jc w:val="both"/>
        <w:rPr>
          <w:b/>
          <w:color w:val="000000" w:themeColor="text1"/>
        </w:rPr>
      </w:pPr>
      <w:r w:rsidRPr="00DE79A0">
        <w:rPr>
          <w:color w:val="000000" w:themeColor="text1"/>
        </w:rPr>
        <w:t>E</w:t>
      </w:r>
      <w:r w:rsidR="009F0D24" w:rsidRPr="00DE79A0">
        <w:rPr>
          <w:color w:val="000000" w:themeColor="text1"/>
        </w:rPr>
        <w:t xml:space="preserve">ste </w:t>
      </w:r>
      <w:r w:rsidR="00784251" w:rsidRPr="00DE79A0">
        <w:rPr>
          <w:color w:val="000000" w:themeColor="text1"/>
        </w:rPr>
        <w:t>artigo</w:t>
      </w:r>
      <w:r w:rsidR="009F0D24" w:rsidRPr="00DE79A0">
        <w:rPr>
          <w:color w:val="000000" w:themeColor="text1"/>
        </w:rPr>
        <w:t xml:space="preserve"> está estruturado em </w:t>
      </w:r>
      <w:r w:rsidR="001B671C" w:rsidRPr="00DE79A0">
        <w:rPr>
          <w:color w:val="000000" w:themeColor="text1"/>
        </w:rPr>
        <w:t>cinco</w:t>
      </w:r>
      <w:r w:rsidR="009F0D24" w:rsidRPr="00DE79A0">
        <w:rPr>
          <w:color w:val="000000" w:themeColor="text1"/>
        </w:rPr>
        <w:t xml:space="preserve"> seções incluindo esta introdução. A segunda seção</w:t>
      </w:r>
      <w:r w:rsidR="00835732" w:rsidRPr="00DE79A0">
        <w:rPr>
          <w:color w:val="000000" w:themeColor="text1"/>
        </w:rPr>
        <w:t xml:space="preserve"> </w:t>
      </w:r>
      <w:r w:rsidR="00367023" w:rsidRPr="00DE79A0">
        <w:rPr>
          <w:color w:val="000000" w:themeColor="text1"/>
        </w:rPr>
        <w:t>aborda</w:t>
      </w:r>
      <w:r w:rsidR="00161F53" w:rsidRPr="00DE79A0">
        <w:rPr>
          <w:color w:val="000000" w:themeColor="text1"/>
        </w:rPr>
        <w:t xml:space="preserve"> a </w:t>
      </w:r>
      <w:r w:rsidR="00161F53" w:rsidRPr="00DE79A0">
        <w:rPr>
          <w:rFonts w:eastAsia="Calibri"/>
          <w:bCs/>
          <w:color w:val="000000" w:themeColor="text1"/>
        </w:rPr>
        <w:t>Gestão de base comum de recursos</w:t>
      </w:r>
      <w:r w:rsidR="001340FF" w:rsidRPr="00DE79A0">
        <w:rPr>
          <w:color w:val="000000" w:themeColor="text1"/>
        </w:rPr>
        <w:t>.</w:t>
      </w:r>
      <w:r w:rsidR="00EE1F52" w:rsidRPr="00DE79A0">
        <w:rPr>
          <w:color w:val="000000" w:themeColor="text1"/>
        </w:rPr>
        <w:t xml:space="preserve"> A terceira</w:t>
      </w:r>
      <w:r w:rsidR="009F0D24" w:rsidRPr="00DE79A0">
        <w:rPr>
          <w:color w:val="000000" w:themeColor="text1"/>
        </w:rPr>
        <w:t xml:space="preserve"> seção apresenta </w:t>
      </w:r>
      <w:r w:rsidR="00157A4B" w:rsidRPr="00DE79A0">
        <w:rPr>
          <w:color w:val="000000" w:themeColor="text1"/>
        </w:rPr>
        <w:t>discussões sobre ICMS Ecológico</w:t>
      </w:r>
      <w:r w:rsidR="00EE1F52" w:rsidRPr="00DE79A0">
        <w:rPr>
          <w:color w:val="000000" w:themeColor="text1"/>
        </w:rPr>
        <w:t xml:space="preserve"> </w:t>
      </w:r>
      <w:r w:rsidR="00DE4FC8" w:rsidRPr="00DE79A0">
        <w:rPr>
          <w:color w:val="000000" w:themeColor="text1"/>
        </w:rPr>
        <w:t>em âmbito nacional, e o ICMS-V</w:t>
      </w:r>
      <w:r w:rsidR="00EE1F52" w:rsidRPr="00DE79A0">
        <w:rPr>
          <w:color w:val="000000" w:themeColor="text1"/>
        </w:rPr>
        <w:t xml:space="preserve"> contexto paraense, apresentando resultados preliminares da implantação deste no Pará</w:t>
      </w:r>
      <w:r w:rsidR="009F0D24" w:rsidRPr="00DE79A0">
        <w:rPr>
          <w:color w:val="000000" w:themeColor="text1"/>
        </w:rPr>
        <w:t xml:space="preserve">. A </w:t>
      </w:r>
      <w:r w:rsidR="00EE1F52" w:rsidRPr="00DE79A0">
        <w:rPr>
          <w:color w:val="000000" w:themeColor="text1"/>
        </w:rPr>
        <w:t xml:space="preserve">quarta seção busca realizar </w:t>
      </w:r>
      <w:r w:rsidR="00B41A06" w:rsidRPr="00DE79A0">
        <w:rPr>
          <w:color w:val="000000" w:themeColor="text1"/>
        </w:rPr>
        <w:t xml:space="preserve">uma reflexão </w:t>
      </w:r>
      <w:r w:rsidR="00EE1F52" w:rsidRPr="00DE79A0">
        <w:rPr>
          <w:color w:val="000000" w:themeColor="text1"/>
        </w:rPr>
        <w:t>crítica sobre</w:t>
      </w:r>
      <w:r w:rsidR="00DE4FC8" w:rsidRPr="00DE79A0">
        <w:rPr>
          <w:color w:val="000000" w:themeColor="text1"/>
        </w:rPr>
        <w:t>a a aplicação e limites do ICMS-</w:t>
      </w:r>
      <w:r w:rsidR="00367023" w:rsidRPr="00DE79A0">
        <w:rPr>
          <w:color w:val="000000" w:themeColor="text1"/>
        </w:rPr>
        <w:t>V no</w:t>
      </w:r>
      <w:r w:rsidR="00EE1F52" w:rsidRPr="00DE79A0">
        <w:rPr>
          <w:color w:val="000000" w:themeColor="text1"/>
        </w:rPr>
        <w:t xml:space="preserve"> </w:t>
      </w:r>
      <w:r w:rsidR="00043F89" w:rsidRPr="00DE79A0">
        <w:rPr>
          <w:color w:val="000000" w:themeColor="text1"/>
        </w:rPr>
        <w:t>Pará</w:t>
      </w:r>
      <w:r w:rsidR="00DE79A0" w:rsidRPr="00DE79A0">
        <w:rPr>
          <w:color w:val="000000" w:themeColor="text1"/>
        </w:rPr>
        <w:t>.</w:t>
      </w:r>
    </w:p>
    <w:p w:rsidR="00DE79A0" w:rsidRDefault="00DE79A0" w:rsidP="0078321F">
      <w:pPr>
        <w:autoSpaceDE w:val="0"/>
        <w:autoSpaceDN w:val="0"/>
        <w:adjustRightInd w:val="0"/>
        <w:jc w:val="both"/>
        <w:rPr>
          <w:b/>
          <w:color w:val="000000" w:themeColor="text1"/>
        </w:rPr>
      </w:pPr>
    </w:p>
    <w:p w:rsidR="000B5911" w:rsidRPr="002E475B" w:rsidRDefault="00CA3E55" w:rsidP="0078321F">
      <w:pPr>
        <w:pStyle w:val="PargrafodaLista"/>
        <w:numPr>
          <w:ilvl w:val="0"/>
          <w:numId w:val="4"/>
        </w:numPr>
        <w:autoSpaceDE w:val="0"/>
        <w:autoSpaceDN w:val="0"/>
        <w:adjustRightInd w:val="0"/>
        <w:spacing w:line="240" w:lineRule="auto"/>
        <w:ind w:left="142" w:firstLine="0"/>
        <w:jc w:val="both"/>
        <w:rPr>
          <w:rFonts w:ascii="Times New Roman" w:hAnsi="Times New Roman"/>
          <w:b/>
          <w:bCs/>
          <w:color w:val="000000" w:themeColor="text1"/>
          <w:sz w:val="24"/>
          <w:szCs w:val="24"/>
        </w:rPr>
      </w:pPr>
      <w:r w:rsidRPr="002E475B">
        <w:rPr>
          <w:rFonts w:ascii="Times New Roman" w:hAnsi="Times New Roman"/>
          <w:b/>
          <w:bCs/>
          <w:color w:val="000000" w:themeColor="text1"/>
          <w:sz w:val="24"/>
          <w:szCs w:val="24"/>
        </w:rPr>
        <w:t>GESTÃO DE BASE COMUM DE RECURSOS</w:t>
      </w:r>
    </w:p>
    <w:p w:rsidR="00CA3E55" w:rsidRPr="00DE79A0" w:rsidRDefault="00CA3E55" w:rsidP="0078321F">
      <w:pPr>
        <w:autoSpaceDE w:val="0"/>
        <w:autoSpaceDN w:val="0"/>
        <w:adjustRightInd w:val="0"/>
        <w:jc w:val="both"/>
        <w:rPr>
          <w:rFonts w:eastAsia="Calibri"/>
          <w:bCs/>
          <w:color w:val="000000" w:themeColor="text1"/>
        </w:rPr>
      </w:pPr>
    </w:p>
    <w:p w:rsidR="000B5911" w:rsidRDefault="000B5911" w:rsidP="0078321F">
      <w:pPr>
        <w:autoSpaceDE w:val="0"/>
        <w:autoSpaceDN w:val="0"/>
        <w:adjustRightInd w:val="0"/>
        <w:jc w:val="both"/>
        <w:rPr>
          <w:rFonts w:eastAsia="Calibri"/>
          <w:bCs/>
        </w:rPr>
      </w:pPr>
      <w:r w:rsidRPr="008539DB">
        <w:rPr>
          <w:rFonts w:eastAsia="Calibri"/>
          <w:bCs/>
        </w:rPr>
        <w:t>Recursos comuns</w:t>
      </w:r>
      <w:r>
        <w:rPr>
          <w:rFonts w:eastAsia="Calibri"/>
          <w:bCs/>
        </w:rPr>
        <w:t xml:space="preserve"> ou base comum de recursos</w:t>
      </w:r>
      <w:r w:rsidRPr="008539DB">
        <w:rPr>
          <w:rFonts w:eastAsia="Calibri"/>
          <w:bCs/>
        </w:rPr>
        <w:t xml:space="preserve"> podem ser considerados como um sistema de recursos onde o potencial excludente de apropriação ou a limitação de direitos de apropriação de usuários existentes não é simples</w:t>
      </w:r>
      <w:r w:rsidR="003B6E0E">
        <w:rPr>
          <w:rFonts w:eastAsia="Calibri"/>
          <w:bCs/>
        </w:rPr>
        <w:t>, porém</w:t>
      </w:r>
      <w:r w:rsidRPr="008539DB">
        <w:rPr>
          <w:rFonts w:eastAsia="Calibri"/>
          <w:bCs/>
        </w:rPr>
        <w:t xml:space="preserve"> </w:t>
      </w:r>
      <w:r w:rsidR="003B6E0E">
        <w:rPr>
          <w:rFonts w:eastAsia="Calibri"/>
          <w:bCs/>
        </w:rPr>
        <w:t>n</w:t>
      </w:r>
      <w:r w:rsidRPr="008539DB">
        <w:rPr>
          <w:rFonts w:eastAsia="Calibri"/>
          <w:bCs/>
        </w:rPr>
        <w:t xml:space="preserve">ão necessariamente impossível e o rendimento do sistema de recurso é subtraível (OSTROM; GARDNER; WALKER 1994).  Ou seja, </w:t>
      </w:r>
      <w:r w:rsidRPr="008539DB">
        <w:rPr>
          <w:rFonts w:eastAsia="Calibri"/>
          <w:bCs/>
        </w:rPr>
        <w:lastRenderedPageBreak/>
        <w:t>possuem duas características: “dificuldade de desenvolvimento de instrumentos de exclusão dos potenciais beneficiários” onde “soluções para essas dificuldades geram custos, o que abre possibilidades para o uso predatório” (MCKEAN; OSTROM, 2011) e “as unidades de recursos explorados por um indivíduo deixa de estar disponíveis para outros – como bens privados, são subtraíeis ou concorrentes no consumo e, portanto, podem ser exauridos” (MCKEAN; OSTROM, 2011</w:t>
      </w:r>
      <w:r w:rsidRPr="008539DB">
        <w:rPr>
          <w:rFonts w:eastAsia="Calibri"/>
          <w:bCs/>
          <w:u w:val="single"/>
        </w:rPr>
        <w:t>.</w:t>
      </w:r>
      <w:r w:rsidRPr="008539DB">
        <w:rPr>
          <w:rFonts w:eastAsia="Calibri"/>
          <w:bCs/>
        </w:rPr>
        <w:t xml:space="preserve"> Assim, essa classe de recursos apresenta as características de exclusão difícil e o uso conjunto envolve alta subtração, conforme </w:t>
      </w:r>
      <w:r w:rsidR="003B6E0E">
        <w:rPr>
          <w:rFonts w:eastAsia="Calibri"/>
          <w:bCs/>
        </w:rPr>
        <w:t xml:space="preserve">a </w:t>
      </w:r>
      <w:r w:rsidRPr="008539DB">
        <w:rPr>
          <w:rFonts w:eastAsia="Calibri"/>
          <w:bCs/>
        </w:rPr>
        <w:t xml:space="preserve">Figura </w:t>
      </w:r>
      <w:r w:rsidR="003B6E0E">
        <w:rPr>
          <w:rFonts w:eastAsia="Calibri"/>
          <w:bCs/>
        </w:rPr>
        <w:t>1</w:t>
      </w:r>
      <w:r w:rsidRPr="008539DB">
        <w:rPr>
          <w:rFonts w:eastAsia="Calibri"/>
          <w:bCs/>
        </w:rPr>
        <w:t>:</w:t>
      </w:r>
    </w:p>
    <w:p w:rsidR="00427015" w:rsidRDefault="00427015" w:rsidP="0078321F">
      <w:pPr>
        <w:autoSpaceDE w:val="0"/>
        <w:autoSpaceDN w:val="0"/>
        <w:adjustRightInd w:val="0"/>
        <w:jc w:val="both"/>
        <w:rPr>
          <w:rFonts w:eastAsia="Calibri"/>
          <w:bCs/>
        </w:rPr>
      </w:pPr>
    </w:p>
    <w:p w:rsidR="002E475B" w:rsidRPr="008539DB" w:rsidRDefault="002E475B" w:rsidP="0078321F">
      <w:pPr>
        <w:autoSpaceDE w:val="0"/>
        <w:autoSpaceDN w:val="0"/>
        <w:adjustRightInd w:val="0"/>
        <w:jc w:val="both"/>
        <w:rPr>
          <w:rFonts w:eastAsia="Calibri"/>
          <w:bCs/>
        </w:rPr>
      </w:pPr>
    </w:p>
    <w:p w:rsidR="000B5911" w:rsidRPr="008539DB" w:rsidRDefault="000B5911" w:rsidP="0078321F">
      <w:pPr>
        <w:autoSpaceDE w:val="0"/>
        <w:autoSpaceDN w:val="0"/>
        <w:adjustRightInd w:val="0"/>
        <w:ind w:firstLine="708"/>
        <w:jc w:val="both"/>
        <w:rPr>
          <w:rFonts w:eastAsia="Calibr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563"/>
        <w:gridCol w:w="2410"/>
        <w:gridCol w:w="2268"/>
      </w:tblGrid>
      <w:tr w:rsidR="000B5911" w:rsidRPr="008539DB" w:rsidTr="008B3A14">
        <w:tc>
          <w:tcPr>
            <w:tcW w:w="1496" w:type="dxa"/>
            <w:vMerge w:val="restart"/>
            <w:tcBorders>
              <w:top w:val="nil"/>
              <w:left w:val="nil"/>
              <w:bottom w:val="nil"/>
              <w:right w:val="nil"/>
            </w:tcBorders>
            <w:shd w:val="clear" w:color="auto" w:fill="auto"/>
            <w:textDirection w:val="btLr"/>
          </w:tcPr>
          <w:p w:rsidR="000B5911" w:rsidRPr="008B3A14" w:rsidRDefault="000B5911" w:rsidP="0078321F">
            <w:pPr>
              <w:autoSpaceDE w:val="0"/>
              <w:autoSpaceDN w:val="0"/>
              <w:adjustRightInd w:val="0"/>
              <w:ind w:left="113" w:right="113"/>
              <w:jc w:val="both"/>
              <w:rPr>
                <w:rFonts w:eastAsia="Calibri"/>
                <w:b/>
                <w:bCs/>
                <w:i/>
              </w:rPr>
            </w:pPr>
            <w:r w:rsidRPr="008B3A14">
              <w:rPr>
                <w:rFonts w:eastAsia="Calibri"/>
                <w:b/>
                <w:bCs/>
                <w:i/>
              </w:rPr>
              <w:t>EXCLUSÃO</w:t>
            </w:r>
          </w:p>
        </w:tc>
        <w:tc>
          <w:tcPr>
            <w:tcW w:w="6241" w:type="dxa"/>
            <w:gridSpan w:val="3"/>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
                <w:bCs/>
                <w:i/>
              </w:rPr>
            </w:pPr>
            <w:r w:rsidRPr="008B3A14">
              <w:rPr>
                <w:rFonts w:eastAsia="Calibri"/>
                <w:b/>
                <w:bCs/>
                <w:i/>
              </w:rPr>
              <w:t>SUBTRAÇÃO</w:t>
            </w:r>
          </w:p>
          <w:p w:rsidR="000B5911" w:rsidRPr="008B3A14" w:rsidRDefault="000B5911" w:rsidP="0078321F">
            <w:pPr>
              <w:autoSpaceDE w:val="0"/>
              <w:autoSpaceDN w:val="0"/>
              <w:adjustRightInd w:val="0"/>
              <w:jc w:val="both"/>
              <w:rPr>
                <w:rFonts w:eastAsia="Calibri"/>
                <w:b/>
                <w:bCs/>
                <w:i/>
              </w:rPr>
            </w:pPr>
          </w:p>
        </w:tc>
      </w:tr>
      <w:tr w:rsidR="000B5911" w:rsidRPr="008539DB" w:rsidTr="008B3A14">
        <w:tc>
          <w:tcPr>
            <w:tcW w:w="1496" w:type="dxa"/>
            <w:vMerge/>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Cs/>
              </w:rPr>
            </w:pPr>
          </w:p>
        </w:tc>
        <w:tc>
          <w:tcPr>
            <w:tcW w:w="1563" w:type="dxa"/>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Cs/>
              </w:rPr>
            </w:pPr>
          </w:p>
        </w:tc>
        <w:tc>
          <w:tcPr>
            <w:tcW w:w="2410" w:type="dxa"/>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
                <w:bCs/>
                <w:u w:val="single"/>
              </w:rPr>
            </w:pPr>
            <w:r w:rsidRPr="008B3A14">
              <w:rPr>
                <w:rFonts w:eastAsia="Calibri"/>
                <w:b/>
                <w:bCs/>
                <w:u w:val="single"/>
              </w:rPr>
              <w:t xml:space="preserve">Baixa </w:t>
            </w:r>
          </w:p>
        </w:tc>
        <w:tc>
          <w:tcPr>
            <w:tcW w:w="2268" w:type="dxa"/>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
                <w:bCs/>
                <w:u w:val="single"/>
              </w:rPr>
            </w:pPr>
            <w:r w:rsidRPr="008B3A14">
              <w:rPr>
                <w:rFonts w:eastAsia="Calibri"/>
                <w:b/>
                <w:bCs/>
                <w:u w:val="single"/>
              </w:rPr>
              <w:t>Alta</w:t>
            </w:r>
          </w:p>
        </w:tc>
      </w:tr>
      <w:tr w:rsidR="000B5911" w:rsidRPr="008539DB" w:rsidTr="008B3A14">
        <w:tc>
          <w:tcPr>
            <w:tcW w:w="1496" w:type="dxa"/>
            <w:vMerge/>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Cs/>
              </w:rPr>
            </w:pPr>
          </w:p>
        </w:tc>
        <w:tc>
          <w:tcPr>
            <w:tcW w:w="1563" w:type="dxa"/>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
                <w:bCs/>
                <w:u w:val="single"/>
              </w:rPr>
            </w:pPr>
            <w:r w:rsidRPr="008B3A14">
              <w:rPr>
                <w:rFonts w:eastAsia="Calibri"/>
                <w:b/>
                <w:bCs/>
                <w:u w:val="single"/>
              </w:rPr>
              <w:t xml:space="preserve">Difícil </w:t>
            </w:r>
          </w:p>
        </w:tc>
        <w:tc>
          <w:tcPr>
            <w:tcW w:w="2410" w:type="dxa"/>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Cs/>
                <w:i/>
              </w:rPr>
            </w:pPr>
            <w:r w:rsidRPr="008B3A14">
              <w:rPr>
                <w:rFonts w:eastAsia="Calibri"/>
                <w:bCs/>
                <w:i/>
              </w:rPr>
              <w:t>Recursos Públicos</w:t>
            </w:r>
          </w:p>
        </w:tc>
        <w:tc>
          <w:tcPr>
            <w:tcW w:w="2268" w:type="dxa"/>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Cs/>
              </w:rPr>
            </w:pPr>
            <w:r w:rsidRPr="008B3A14">
              <w:rPr>
                <w:rFonts w:eastAsia="Calibri"/>
                <w:bCs/>
              </w:rPr>
              <w:t>Recursos comuns</w:t>
            </w:r>
          </w:p>
        </w:tc>
      </w:tr>
      <w:tr w:rsidR="000B5911" w:rsidRPr="008539DB" w:rsidTr="008B3A14">
        <w:trPr>
          <w:trHeight w:val="573"/>
        </w:trPr>
        <w:tc>
          <w:tcPr>
            <w:tcW w:w="1496" w:type="dxa"/>
            <w:vMerge/>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Cs/>
              </w:rPr>
            </w:pPr>
          </w:p>
        </w:tc>
        <w:tc>
          <w:tcPr>
            <w:tcW w:w="1563" w:type="dxa"/>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
                <w:bCs/>
                <w:u w:val="single"/>
              </w:rPr>
            </w:pPr>
            <w:r w:rsidRPr="008B3A14">
              <w:rPr>
                <w:rFonts w:eastAsia="Calibri"/>
                <w:b/>
                <w:bCs/>
                <w:u w:val="single"/>
              </w:rPr>
              <w:t>Fácil</w:t>
            </w:r>
          </w:p>
        </w:tc>
        <w:tc>
          <w:tcPr>
            <w:tcW w:w="2410" w:type="dxa"/>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Cs/>
              </w:rPr>
            </w:pPr>
            <w:r w:rsidRPr="008B3A14">
              <w:rPr>
                <w:rFonts w:eastAsia="Calibri"/>
                <w:bCs/>
              </w:rPr>
              <w:t>Recursos Tributáveis</w:t>
            </w:r>
          </w:p>
        </w:tc>
        <w:tc>
          <w:tcPr>
            <w:tcW w:w="2268" w:type="dxa"/>
            <w:tcBorders>
              <w:top w:val="nil"/>
              <w:left w:val="nil"/>
              <w:bottom w:val="nil"/>
              <w:right w:val="nil"/>
            </w:tcBorders>
            <w:shd w:val="clear" w:color="auto" w:fill="auto"/>
          </w:tcPr>
          <w:p w:rsidR="000B5911" w:rsidRPr="008B3A14" w:rsidRDefault="000B5911" w:rsidP="0078321F">
            <w:pPr>
              <w:autoSpaceDE w:val="0"/>
              <w:autoSpaceDN w:val="0"/>
              <w:adjustRightInd w:val="0"/>
              <w:jc w:val="both"/>
              <w:rPr>
                <w:rFonts w:eastAsia="Calibri"/>
                <w:bCs/>
              </w:rPr>
            </w:pPr>
            <w:r w:rsidRPr="008B3A14">
              <w:rPr>
                <w:rFonts w:eastAsia="Calibri"/>
                <w:bCs/>
              </w:rPr>
              <w:t>Recursos Privados</w:t>
            </w:r>
          </w:p>
        </w:tc>
      </w:tr>
    </w:tbl>
    <w:p w:rsidR="000B5911" w:rsidRPr="008539DB" w:rsidRDefault="000B5911" w:rsidP="0078321F">
      <w:pPr>
        <w:autoSpaceDE w:val="0"/>
        <w:autoSpaceDN w:val="0"/>
        <w:adjustRightInd w:val="0"/>
        <w:jc w:val="both"/>
        <w:rPr>
          <w:rFonts w:eastAsia="Calibri"/>
          <w:bCs/>
        </w:rPr>
      </w:pPr>
    </w:p>
    <w:p w:rsidR="000B5911" w:rsidRPr="008539DB" w:rsidRDefault="000B5911" w:rsidP="0078321F">
      <w:pPr>
        <w:autoSpaceDE w:val="0"/>
        <w:autoSpaceDN w:val="0"/>
        <w:adjustRightInd w:val="0"/>
        <w:jc w:val="both"/>
        <w:rPr>
          <w:rFonts w:eastAsia="Calibri"/>
          <w:bCs/>
        </w:rPr>
      </w:pPr>
      <w:r w:rsidRPr="008539DB">
        <w:rPr>
          <w:rFonts w:eastAsia="Calibri"/>
          <w:bCs/>
        </w:rPr>
        <w:t xml:space="preserve">Figura </w:t>
      </w:r>
      <w:r w:rsidR="003B6E0E">
        <w:rPr>
          <w:rFonts w:eastAsia="Calibri"/>
          <w:bCs/>
        </w:rPr>
        <w:t>1</w:t>
      </w:r>
      <w:r w:rsidRPr="008539DB">
        <w:rPr>
          <w:rFonts w:eastAsia="Calibri"/>
          <w:bCs/>
        </w:rPr>
        <w:t>: Classificação geral dos bens</w:t>
      </w:r>
    </w:p>
    <w:p w:rsidR="000B5911" w:rsidRPr="008539DB" w:rsidRDefault="000B5911" w:rsidP="0078321F">
      <w:pPr>
        <w:autoSpaceDE w:val="0"/>
        <w:autoSpaceDN w:val="0"/>
        <w:adjustRightInd w:val="0"/>
        <w:jc w:val="both"/>
        <w:rPr>
          <w:rFonts w:eastAsia="Calibri"/>
          <w:bCs/>
        </w:rPr>
      </w:pPr>
      <w:r w:rsidRPr="008539DB">
        <w:rPr>
          <w:rFonts w:eastAsia="Calibri"/>
          <w:bCs/>
        </w:rPr>
        <w:t>Fonte:  Adaptado de (OSTROM, GARDNER; WALKER, 1994)</w:t>
      </w:r>
    </w:p>
    <w:p w:rsidR="000B5911" w:rsidRPr="008539DB" w:rsidRDefault="000B5911" w:rsidP="0078321F">
      <w:pPr>
        <w:autoSpaceDE w:val="0"/>
        <w:autoSpaceDN w:val="0"/>
        <w:adjustRightInd w:val="0"/>
        <w:jc w:val="both"/>
        <w:rPr>
          <w:rFonts w:eastAsia="Calibri"/>
          <w:bCs/>
        </w:rPr>
      </w:pPr>
    </w:p>
    <w:p w:rsidR="000B5911" w:rsidRPr="008539DB" w:rsidRDefault="000B5911" w:rsidP="0078321F">
      <w:pPr>
        <w:autoSpaceDE w:val="0"/>
        <w:autoSpaceDN w:val="0"/>
        <w:adjustRightInd w:val="0"/>
        <w:jc w:val="both"/>
        <w:rPr>
          <w:rFonts w:eastAsia="Calibri"/>
          <w:bCs/>
        </w:rPr>
      </w:pPr>
      <w:r w:rsidRPr="008539DB">
        <w:rPr>
          <w:rFonts w:eastAsia="Calibri"/>
          <w:bCs/>
        </w:rPr>
        <w:t xml:space="preserve">Segundo </w:t>
      </w:r>
      <w:proofErr w:type="spellStart"/>
      <w:r w:rsidRPr="008539DB">
        <w:rPr>
          <w:rFonts w:eastAsia="Calibri"/>
          <w:bCs/>
        </w:rPr>
        <w:t>Ostrom</w:t>
      </w:r>
      <w:proofErr w:type="spellEnd"/>
      <w:r w:rsidRPr="008539DB">
        <w:rPr>
          <w:rFonts w:eastAsia="Calibri"/>
          <w:bCs/>
        </w:rPr>
        <w:t xml:space="preserve">, </w:t>
      </w:r>
      <w:proofErr w:type="spellStart"/>
      <w:r w:rsidRPr="008539DB">
        <w:rPr>
          <w:rFonts w:eastAsia="Calibri"/>
          <w:bCs/>
        </w:rPr>
        <w:t>Gadner</w:t>
      </w:r>
      <w:proofErr w:type="spellEnd"/>
      <w:r w:rsidRPr="008539DB">
        <w:rPr>
          <w:rFonts w:eastAsia="Calibri"/>
          <w:bCs/>
        </w:rPr>
        <w:t xml:space="preserve"> e Walker (1994), cada um dos bens caracterizados na Figura </w:t>
      </w:r>
      <w:r w:rsidR="00876DAC">
        <w:rPr>
          <w:rFonts w:eastAsia="Calibri"/>
          <w:bCs/>
        </w:rPr>
        <w:t>1</w:t>
      </w:r>
      <w:r w:rsidRPr="008539DB">
        <w:rPr>
          <w:rFonts w:eastAsia="Calibri"/>
          <w:bCs/>
        </w:rPr>
        <w:t xml:space="preserve"> são diferentes, não obstante, existe uma variedade substancial presente dentro de cada tipo caracterizado. Os bens privados são caracterizados pela relativa facilidade de exclusão em um sentido econ</w:t>
      </w:r>
      <w:r w:rsidR="00876DAC">
        <w:rPr>
          <w:rFonts w:eastAsia="Calibri"/>
          <w:bCs/>
        </w:rPr>
        <w:t>ô</w:t>
      </w:r>
      <w:r w:rsidRPr="008539DB">
        <w:rPr>
          <w:rFonts w:eastAsia="Calibri"/>
          <w:bCs/>
        </w:rPr>
        <w:t xml:space="preserve">mico e jurídico e a </w:t>
      </w:r>
      <w:proofErr w:type="spellStart"/>
      <w:r w:rsidRPr="008539DB">
        <w:rPr>
          <w:rFonts w:eastAsia="Calibri"/>
          <w:bCs/>
        </w:rPr>
        <w:t>subtrabilidade</w:t>
      </w:r>
      <w:proofErr w:type="spellEnd"/>
      <w:r w:rsidRPr="008539DB">
        <w:rPr>
          <w:rFonts w:eastAsia="Calibri"/>
          <w:bCs/>
        </w:rPr>
        <w:t xml:space="preserve"> alta, sendo matérias-primas e melhor analisadas usando a teoria econômica neoclássica dos mercados. Os bens públicos são o oposto de bens privados em relação a ambos os atributos, ou seja, é difícil impedir o acesso e apresentam baixa </w:t>
      </w:r>
      <w:proofErr w:type="spellStart"/>
      <w:r w:rsidRPr="008539DB">
        <w:rPr>
          <w:rFonts w:eastAsia="Calibri"/>
          <w:bCs/>
        </w:rPr>
        <w:t>subtrabilidade</w:t>
      </w:r>
      <w:proofErr w:type="spellEnd"/>
      <w:r w:rsidRPr="008539DB">
        <w:rPr>
          <w:rFonts w:eastAsia="Calibri"/>
          <w:bCs/>
        </w:rPr>
        <w:t xml:space="preserve">. Os bens tributáveis possuem uma relativa facilidade de exclusão e como os bens públicos a relativa falta de subtração. Já os recursos comuns possuem alta </w:t>
      </w:r>
      <w:proofErr w:type="spellStart"/>
      <w:r w:rsidRPr="008539DB">
        <w:rPr>
          <w:rFonts w:eastAsia="Calibri"/>
          <w:bCs/>
        </w:rPr>
        <w:t>subtrabilidade</w:t>
      </w:r>
      <w:proofErr w:type="spellEnd"/>
      <w:r w:rsidRPr="008539DB">
        <w:rPr>
          <w:rFonts w:eastAsia="Calibri"/>
          <w:bCs/>
        </w:rPr>
        <w:t xml:space="preserve"> de unidades de recurso e com bens públicos, é difícil a exclusão de usuários interessados em seu uso.</w:t>
      </w:r>
    </w:p>
    <w:p w:rsidR="000B5911" w:rsidRPr="008539DB" w:rsidRDefault="00876DAC" w:rsidP="0078321F">
      <w:pPr>
        <w:autoSpaceDE w:val="0"/>
        <w:autoSpaceDN w:val="0"/>
        <w:adjustRightInd w:val="0"/>
        <w:jc w:val="both"/>
        <w:rPr>
          <w:rFonts w:eastAsia="Calibri"/>
          <w:bCs/>
        </w:rPr>
      </w:pPr>
      <w:r>
        <w:rPr>
          <w:rFonts w:eastAsia="Calibri"/>
          <w:bCs/>
        </w:rPr>
        <w:t>Base Comum de recursos</w:t>
      </w:r>
      <w:r w:rsidR="000B5911" w:rsidRPr="008539DB">
        <w:rPr>
          <w:rFonts w:eastAsia="Calibri"/>
          <w:bCs/>
        </w:rPr>
        <w:t xml:space="preserve"> “se referem a uma classe de recursos para qual a subtração é difícil e o uso conjunto envolve subtração; incluem peixes, vida selvagem, águas superficiais e subterrâneas, pastagens e florestas”. Existem quatro categorias no âmbito das quais os podem ser manejados: (FEENY ET AL, 2011, p. 19). </w:t>
      </w:r>
    </w:p>
    <w:p w:rsidR="000B5911" w:rsidRPr="008539DB" w:rsidRDefault="000B5911" w:rsidP="0078321F">
      <w:pPr>
        <w:pStyle w:val="PargrafodaLista"/>
        <w:numPr>
          <w:ilvl w:val="0"/>
          <w:numId w:val="1"/>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539DB">
        <w:rPr>
          <w:rFonts w:ascii="Times New Roman" w:hAnsi="Times New Roman"/>
          <w:bCs/>
          <w:sz w:val="24"/>
          <w:szCs w:val="24"/>
        </w:rPr>
        <w:t>Livre acesso: ausência de direitos de propriedade bem definidos, não sendo regulamentado o acesso aos recursos por ser livre e aberto para qualquer pessoa, a exemplo da atmosfera global.</w:t>
      </w:r>
    </w:p>
    <w:p w:rsidR="000B5911" w:rsidRPr="008539DB" w:rsidRDefault="000B5911" w:rsidP="0078321F">
      <w:pPr>
        <w:pStyle w:val="PargrafodaLista"/>
        <w:numPr>
          <w:ilvl w:val="0"/>
          <w:numId w:val="1"/>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539DB">
        <w:rPr>
          <w:rFonts w:ascii="Times New Roman" w:hAnsi="Times New Roman"/>
          <w:bCs/>
          <w:sz w:val="24"/>
          <w:szCs w:val="24"/>
        </w:rPr>
        <w:t>Propriedade privada: os direitos são geralmente reconhecidos e impostos pelo Estado e geralmente exclusivos e transferíveis. São delegados a indivíduos ou a grupos de indivíduos [organizações] os direitos de regulação e exploração dos recursos.</w:t>
      </w:r>
    </w:p>
    <w:p w:rsidR="000B5911" w:rsidRPr="008539DB" w:rsidRDefault="000B5911" w:rsidP="0078321F">
      <w:pPr>
        <w:pStyle w:val="PargrafodaLista"/>
        <w:numPr>
          <w:ilvl w:val="0"/>
          <w:numId w:val="1"/>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539DB">
        <w:rPr>
          <w:rFonts w:ascii="Times New Roman" w:hAnsi="Times New Roman"/>
          <w:bCs/>
          <w:sz w:val="24"/>
          <w:szCs w:val="24"/>
        </w:rPr>
        <w:t>Propriedade Comunal: “os recursos são manejados por uma comunidade identificável de usuários interdependentes que excluem a ação de indivíduos externos ao mesmo tempo em que regulam o uso dos recursos”.</w:t>
      </w:r>
    </w:p>
    <w:p w:rsidR="000B5911" w:rsidRPr="008539DB" w:rsidRDefault="000B5911" w:rsidP="0078321F">
      <w:pPr>
        <w:pStyle w:val="PargrafodaLista"/>
        <w:numPr>
          <w:ilvl w:val="0"/>
          <w:numId w:val="1"/>
        </w:numPr>
        <w:tabs>
          <w:tab w:val="left" w:pos="1134"/>
        </w:tabs>
        <w:autoSpaceDE w:val="0"/>
        <w:autoSpaceDN w:val="0"/>
        <w:adjustRightInd w:val="0"/>
        <w:spacing w:after="0" w:line="240" w:lineRule="auto"/>
        <w:ind w:left="0" w:firstLine="709"/>
        <w:jc w:val="both"/>
        <w:rPr>
          <w:rFonts w:ascii="Times New Roman" w:hAnsi="Times New Roman"/>
          <w:bCs/>
          <w:sz w:val="24"/>
          <w:szCs w:val="24"/>
        </w:rPr>
      </w:pPr>
      <w:r w:rsidRPr="008539DB">
        <w:rPr>
          <w:rFonts w:ascii="Times New Roman" w:hAnsi="Times New Roman"/>
          <w:bCs/>
          <w:sz w:val="24"/>
          <w:szCs w:val="24"/>
        </w:rPr>
        <w:t xml:space="preserve">Propriedade Estatal: os direitos de acesso aos recursos e nível e natureza de exploração são regulamentados exclusivamente pelo governo. </w:t>
      </w:r>
    </w:p>
    <w:p w:rsidR="000B5911" w:rsidRDefault="000B5911" w:rsidP="0078321F">
      <w:pPr>
        <w:autoSpaceDE w:val="0"/>
        <w:autoSpaceDN w:val="0"/>
        <w:adjustRightInd w:val="0"/>
        <w:jc w:val="both"/>
        <w:rPr>
          <w:rFonts w:eastAsia="Calibri"/>
          <w:bCs/>
        </w:rPr>
      </w:pPr>
      <w:r w:rsidRPr="008539DB">
        <w:rPr>
          <w:rFonts w:eastAsia="Calibri"/>
          <w:bCs/>
        </w:rPr>
        <w:t xml:space="preserve">Por fim, as UC regulamentadas pelo SNUC são consideradas como “bem de uso comum” (BRASIL, 1988) e se caracterizam por serem de livre acesso e de propriedade comum (OSTROM, 1990), tendendo a ser sobre exploradas. </w:t>
      </w:r>
    </w:p>
    <w:p w:rsidR="00C251F6" w:rsidRPr="002E475B" w:rsidRDefault="00C251F6" w:rsidP="0078321F">
      <w:pPr>
        <w:autoSpaceDE w:val="0"/>
        <w:autoSpaceDN w:val="0"/>
        <w:adjustRightInd w:val="0"/>
        <w:ind w:firstLine="708"/>
        <w:jc w:val="both"/>
        <w:rPr>
          <w:rFonts w:eastAsia="Calibri"/>
          <w:b/>
          <w:bCs/>
        </w:rPr>
      </w:pPr>
    </w:p>
    <w:p w:rsidR="000B5911" w:rsidRPr="002E475B" w:rsidRDefault="00CA3E55" w:rsidP="0078321F">
      <w:pPr>
        <w:pStyle w:val="PargrafodaLista"/>
        <w:numPr>
          <w:ilvl w:val="0"/>
          <w:numId w:val="4"/>
        </w:numPr>
        <w:autoSpaceDE w:val="0"/>
        <w:autoSpaceDN w:val="0"/>
        <w:adjustRightInd w:val="0"/>
        <w:spacing w:line="240" w:lineRule="auto"/>
        <w:ind w:left="142" w:firstLine="0"/>
        <w:jc w:val="both"/>
        <w:rPr>
          <w:rFonts w:ascii="Times New Roman" w:hAnsi="Times New Roman"/>
          <w:b/>
          <w:bCs/>
          <w:sz w:val="24"/>
          <w:szCs w:val="24"/>
        </w:rPr>
      </w:pPr>
      <w:r w:rsidRPr="002E475B">
        <w:rPr>
          <w:rFonts w:ascii="Times New Roman" w:hAnsi="Times New Roman"/>
          <w:b/>
          <w:bCs/>
          <w:sz w:val="24"/>
          <w:szCs w:val="24"/>
        </w:rPr>
        <w:lastRenderedPageBreak/>
        <w:t xml:space="preserve">UNIDADES DE CONSERVAÇÃO </w:t>
      </w:r>
    </w:p>
    <w:p w:rsidR="00D8417C" w:rsidRPr="002E475B" w:rsidRDefault="00D8417C" w:rsidP="0078321F">
      <w:pPr>
        <w:autoSpaceDE w:val="0"/>
        <w:autoSpaceDN w:val="0"/>
        <w:adjustRightInd w:val="0"/>
        <w:ind w:firstLine="708"/>
        <w:jc w:val="both"/>
        <w:rPr>
          <w:rFonts w:eastAsia="Calibri"/>
          <w:bCs/>
        </w:rPr>
      </w:pPr>
    </w:p>
    <w:p w:rsidR="000B5911" w:rsidRPr="002E475B" w:rsidRDefault="000B5911" w:rsidP="0078321F">
      <w:pPr>
        <w:autoSpaceDE w:val="0"/>
        <w:autoSpaceDN w:val="0"/>
        <w:adjustRightInd w:val="0"/>
        <w:jc w:val="both"/>
        <w:rPr>
          <w:rFonts w:eastAsia="Calibri"/>
          <w:bCs/>
        </w:rPr>
      </w:pPr>
      <w:r w:rsidRPr="002E475B">
        <w:rPr>
          <w:rFonts w:eastAsia="Calibri"/>
          <w:bCs/>
        </w:rPr>
        <w:t xml:space="preserve">A expressão áreas protegidas é utilizada internacionalmente como sinônimo da UC brasileira, significando “espaço territorial e seus recursos naturais (biodiversidade) nos quais recaem objetivos de conservação da natureza” (MACHADO; COSTA; VILANI, 2012).  </w:t>
      </w:r>
    </w:p>
    <w:p w:rsidR="000B5911" w:rsidRPr="002E475B" w:rsidRDefault="000B5911" w:rsidP="0078321F">
      <w:pPr>
        <w:autoSpaceDE w:val="0"/>
        <w:autoSpaceDN w:val="0"/>
        <w:adjustRightInd w:val="0"/>
        <w:jc w:val="both"/>
        <w:rPr>
          <w:rFonts w:eastAsia="Calibri"/>
          <w:bCs/>
        </w:rPr>
      </w:pPr>
      <w:r w:rsidRPr="002E475B">
        <w:rPr>
          <w:rFonts w:eastAsia="Calibri"/>
          <w:bCs/>
        </w:rPr>
        <w:t>No Brasil, as UC, integrantes do SNUC, se dividem em dois grupos: Proteção Integral (com o objetivo de preservar a natureza) e Uso Sustentável (com o objetivo de compatibilizar a conservação da natureza com o uso sustentável de parcela dos seus recursos naturais), conforme o Quadro 2:</w:t>
      </w:r>
    </w:p>
    <w:p w:rsidR="000B5911" w:rsidRDefault="000B5911" w:rsidP="005E7163">
      <w:pPr>
        <w:autoSpaceDE w:val="0"/>
        <w:autoSpaceDN w:val="0"/>
        <w:adjustRightInd w:val="0"/>
        <w:spacing w:line="360" w:lineRule="auto"/>
        <w:ind w:firstLine="708"/>
        <w:jc w:val="both"/>
        <w:rPr>
          <w:rFonts w:eastAsia="Calibri"/>
          <w:bCs/>
        </w:rPr>
      </w:pPr>
    </w:p>
    <w:p w:rsidR="000B5911" w:rsidRPr="008539DB" w:rsidRDefault="000B5911" w:rsidP="005E7163">
      <w:pPr>
        <w:pStyle w:val="Textodecomentrio"/>
        <w:jc w:val="both"/>
        <w:rPr>
          <w:sz w:val="24"/>
          <w:szCs w:val="24"/>
        </w:rPr>
      </w:pPr>
      <w:r w:rsidRPr="008539DB">
        <w:rPr>
          <w:sz w:val="24"/>
          <w:szCs w:val="24"/>
        </w:rPr>
        <w:t>Quadro 2 – Grupos de Unidades de Conservação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260"/>
        <w:gridCol w:w="4531"/>
      </w:tblGrid>
      <w:tr w:rsidR="000B5911" w:rsidRPr="008539DB" w:rsidTr="008B3A14">
        <w:tc>
          <w:tcPr>
            <w:tcW w:w="1271" w:type="dxa"/>
            <w:shd w:val="clear" w:color="auto" w:fill="auto"/>
          </w:tcPr>
          <w:p w:rsidR="000B5911" w:rsidRPr="008B3A14" w:rsidRDefault="000B5911" w:rsidP="005E7163">
            <w:pPr>
              <w:pStyle w:val="Textodecomentrio"/>
              <w:jc w:val="both"/>
              <w:rPr>
                <w:b/>
                <w:sz w:val="24"/>
                <w:szCs w:val="24"/>
              </w:rPr>
            </w:pPr>
            <w:r w:rsidRPr="008B3A14">
              <w:rPr>
                <w:b/>
                <w:sz w:val="24"/>
                <w:szCs w:val="24"/>
              </w:rPr>
              <w:t>GRUPO</w:t>
            </w:r>
          </w:p>
        </w:tc>
        <w:tc>
          <w:tcPr>
            <w:tcW w:w="3260" w:type="dxa"/>
            <w:shd w:val="clear" w:color="auto" w:fill="auto"/>
          </w:tcPr>
          <w:p w:rsidR="000B5911" w:rsidRPr="008B3A14" w:rsidRDefault="000B5911" w:rsidP="005E7163">
            <w:pPr>
              <w:pStyle w:val="Textodecomentrio"/>
              <w:jc w:val="both"/>
              <w:rPr>
                <w:b/>
                <w:sz w:val="24"/>
                <w:szCs w:val="24"/>
              </w:rPr>
            </w:pPr>
            <w:r w:rsidRPr="008B3A14">
              <w:rPr>
                <w:b/>
                <w:sz w:val="24"/>
                <w:szCs w:val="24"/>
              </w:rPr>
              <w:t>OBJETIVO</w:t>
            </w:r>
          </w:p>
        </w:tc>
        <w:tc>
          <w:tcPr>
            <w:tcW w:w="4531" w:type="dxa"/>
            <w:shd w:val="clear" w:color="auto" w:fill="auto"/>
          </w:tcPr>
          <w:p w:rsidR="000B5911" w:rsidRPr="008B3A14" w:rsidRDefault="000B5911" w:rsidP="005E7163">
            <w:pPr>
              <w:pStyle w:val="Textodecomentrio"/>
              <w:jc w:val="both"/>
              <w:rPr>
                <w:b/>
                <w:sz w:val="24"/>
                <w:szCs w:val="24"/>
              </w:rPr>
            </w:pPr>
            <w:r w:rsidRPr="008B3A14">
              <w:rPr>
                <w:b/>
                <w:sz w:val="24"/>
                <w:szCs w:val="24"/>
              </w:rPr>
              <w:t>CATEGORIA</w:t>
            </w:r>
          </w:p>
        </w:tc>
      </w:tr>
      <w:tr w:rsidR="000B5911" w:rsidRPr="008539DB" w:rsidTr="008B3A14">
        <w:tc>
          <w:tcPr>
            <w:tcW w:w="1271" w:type="dxa"/>
            <w:shd w:val="clear" w:color="auto" w:fill="auto"/>
          </w:tcPr>
          <w:p w:rsidR="000B5911" w:rsidRPr="008B3A14" w:rsidRDefault="000B5911" w:rsidP="005E7163">
            <w:pPr>
              <w:pStyle w:val="Textodecomentrio"/>
              <w:jc w:val="both"/>
              <w:rPr>
                <w:i/>
              </w:rPr>
            </w:pPr>
            <w:r w:rsidRPr="008539DB">
              <w:t>Proteção Integral</w:t>
            </w:r>
          </w:p>
        </w:tc>
        <w:tc>
          <w:tcPr>
            <w:tcW w:w="3260" w:type="dxa"/>
            <w:shd w:val="clear" w:color="auto" w:fill="auto"/>
          </w:tcPr>
          <w:p w:rsidR="000B5911" w:rsidRPr="008539DB" w:rsidRDefault="000B5911" w:rsidP="005E7163">
            <w:pPr>
              <w:pStyle w:val="Textodecomentrio"/>
              <w:jc w:val="both"/>
            </w:pPr>
            <w:r w:rsidRPr="008539DB">
              <w:t>Preservar a natureza, sendo admitido apenas o uso indireto dos seus recursos naturais.</w:t>
            </w:r>
          </w:p>
        </w:tc>
        <w:tc>
          <w:tcPr>
            <w:tcW w:w="4531" w:type="dxa"/>
            <w:shd w:val="clear" w:color="auto" w:fill="auto"/>
          </w:tcPr>
          <w:p w:rsidR="000B5911" w:rsidRPr="008539DB" w:rsidRDefault="000B5911" w:rsidP="005E7163">
            <w:pPr>
              <w:pStyle w:val="Textodecomentrio"/>
              <w:jc w:val="both"/>
            </w:pPr>
            <w:r w:rsidRPr="008539DB">
              <w:t>Estação Ecológica, Reserva Biológica, Parque Nacional, Monumento Natural, Refúgio de Vida Silvestre.</w:t>
            </w:r>
          </w:p>
        </w:tc>
      </w:tr>
      <w:tr w:rsidR="000B5911" w:rsidRPr="008539DB" w:rsidTr="008B3A14">
        <w:tc>
          <w:tcPr>
            <w:tcW w:w="1271" w:type="dxa"/>
            <w:shd w:val="clear" w:color="auto" w:fill="auto"/>
          </w:tcPr>
          <w:p w:rsidR="000B5911" w:rsidRPr="008539DB" w:rsidRDefault="000B5911" w:rsidP="005E7163">
            <w:pPr>
              <w:pStyle w:val="Textodecomentrio"/>
              <w:jc w:val="both"/>
            </w:pPr>
            <w:r w:rsidRPr="008539DB">
              <w:t xml:space="preserve">Uso Sustentável </w:t>
            </w:r>
          </w:p>
        </w:tc>
        <w:tc>
          <w:tcPr>
            <w:tcW w:w="3260" w:type="dxa"/>
            <w:shd w:val="clear" w:color="auto" w:fill="auto"/>
          </w:tcPr>
          <w:p w:rsidR="000B5911" w:rsidRPr="008539DB" w:rsidRDefault="000B5911" w:rsidP="005E7163">
            <w:pPr>
              <w:pStyle w:val="Textodecomentrio"/>
              <w:jc w:val="both"/>
            </w:pPr>
            <w:r w:rsidRPr="008B3A14">
              <w:rPr>
                <w:shd w:val="clear" w:color="auto" w:fill="FFFFFF"/>
              </w:rPr>
              <w:t>Compatibilizar a conservação da natureza com o uso sustentável de parcela dos seus recursos naturais.</w:t>
            </w:r>
          </w:p>
        </w:tc>
        <w:tc>
          <w:tcPr>
            <w:tcW w:w="4531" w:type="dxa"/>
            <w:shd w:val="clear" w:color="auto" w:fill="auto"/>
          </w:tcPr>
          <w:p w:rsidR="000B5911" w:rsidRPr="008539DB" w:rsidRDefault="000B5911" w:rsidP="005E7163">
            <w:pPr>
              <w:pStyle w:val="Textodecomentrio"/>
              <w:jc w:val="both"/>
            </w:pPr>
            <w:r w:rsidRPr="008539DB">
              <w:t>Área de Proteção Ambiental (APA), Área de Relevante Interesse Ecológico, Floresta Nacional, Reserva Extrativista (RESEX), Reserva de Fauna, Reserva de Desenvolvimento Sustentável e Reserva Particular do Patrimônio Natural (RPPN).</w:t>
            </w:r>
          </w:p>
        </w:tc>
      </w:tr>
    </w:tbl>
    <w:p w:rsidR="000B5911" w:rsidRDefault="000B5911" w:rsidP="005E7163">
      <w:pPr>
        <w:pStyle w:val="Textodecomentrio"/>
        <w:jc w:val="both"/>
        <w:rPr>
          <w:sz w:val="24"/>
          <w:szCs w:val="24"/>
        </w:rPr>
      </w:pPr>
      <w:r w:rsidRPr="008539DB">
        <w:rPr>
          <w:sz w:val="24"/>
          <w:szCs w:val="24"/>
        </w:rPr>
        <w:t>Fonte: Brasil (2000).</w:t>
      </w:r>
    </w:p>
    <w:p w:rsidR="000B5911" w:rsidRPr="008539DB" w:rsidRDefault="000B5911" w:rsidP="005E7163">
      <w:pPr>
        <w:pStyle w:val="Textodecomentrio"/>
        <w:jc w:val="both"/>
        <w:rPr>
          <w:sz w:val="24"/>
          <w:szCs w:val="24"/>
        </w:rPr>
      </w:pPr>
    </w:p>
    <w:p w:rsidR="000B5911" w:rsidRPr="008539DB" w:rsidRDefault="000B5911" w:rsidP="0078321F">
      <w:pPr>
        <w:autoSpaceDE w:val="0"/>
        <w:autoSpaceDN w:val="0"/>
        <w:adjustRightInd w:val="0"/>
        <w:jc w:val="both"/>
        <w:rPr>
          <w:rFonts w:eastAsia="Calibri"/>
          <w:bCs/>
        </w:rPr>
      </w:pPr>
      <w:r w:rsidRPr="008539DB">
        <w:rPr>
          <w:rFonts w:eastAsia="Calibri"/>
          <w:bCs/>
        </w:rPr>
        <w:t>Atualmente as populações tradicionais que vivem em RESEX</w:t>
      </w:r>
      <w:r w:rsidR="00D8417C">
        <w:rPr>
          <w:rFonts w:eastAsia="Calibri"/>
          <w:bCs/>
        </w:rPr>
        <w:t xml:space="preserve"> e Reserva de Uso Sustentável</w:t>
      </w:r>
      <w:r w:rsidRPr="008539DB">
        <w:rPr>
          <w:rFonts w:eastAsia="Calibri"/>
          <w:bCs/>
        </w:rPr>
        <w:t xml:space="preserve">, áreas de propriedade estatal, exploram os recursos naturais dessas áreas de maneira comunal, por meio da concessão de uso (BRASIL, 2000; DIEGUES, 2001). Nesse contexto, a legislação brasileira os obriga a constituir instituições coletivas para a exploração desses recursos e gestão desses recursos. Além disso, para explorá-los, as comunidades devem seguir regras e normas padronizadas a exemplo do Plano de Manejo e que em determinadas situações produz resultados ambíguos e não adequados à realidade local (SANTOS; BRANNSTROM, 2015). </w:t>
      </w:r>
    </w:p>
    <w:p w:rsidR="000B5911" w:rsidRPr="008539DB" w:rsidRDefault="000B5911" w:rsidP="0078321F">
      <w:pPr>
        <w:autoSpaceDE w:val="0"/>
        <w:autoSpaceDN w:val="0"/>
        <w:adjustRightInd w:val="0"/>
        <w:jc w:val="both"/>
        <w:rPr>
          <w:rFonts w:eastAsia="Calibri"/>
          <w:bCs/>
        </w:rPr>
      </w:pPr>
      <w:r w:rsidRPr="008539DB">
        <w:rPr>
          <w:rFonts w:eastAsia="Calibri"/>
          <w:bCs/>
        </w:rPr>
        <w:t>Não obstante, a criação de uma UC deve ser precedida de estudos técnicos e de consulta pública com intuito de permitir a identificação da localização, da dimensão e dos limites mais adequados para a UC (BRASIL, 2000). Toda UC deve possuir um conselho gestor (espaço formal de consulta ou deliberação) com a finalidade de auxiliar o chefe da UC na gestão, integrando-a à população e, ao mesmo tempo, às ações realizadas no seu entorno (BRASIL, 2015). As RESEX devem possuir conselhos gestores deliberativos e as demais categorias de UC de caráter consultivo. A participação nos conselhos consultivos acontece por meio de ações que se restringem à opinião, à consulta e ao aconselhamento, sem poder de decisão e deliberação (TEIXEIRA et al, 2010). Já a participação no conselho deliberativo se dá ao fazer parte do processo de gestão (TEIXEIRA et al, 2010), com ações de cogestão, de decisão, de gerência e de execução.  Porém, o processo de cogestão, por meio do conselho gestor deliberativo, apresenta limites, pois a participação dos atores não é paritária, predominando atores públicos (MACHADO; COSTA E VILANI, 2012; TEIXEIRA et al, 2010).</w:t>
      </w:r>
    </w:p>
    <w:p w:rsidR="005E7163" w:rsidRDefault="005E7163" w:rsidP="0078321F">
      <w:pPr>
        <w:jc w:val="both"/>
        <w:rPr>
          <w:b/>
        </w:rPr>
      </w:pPr>
    </w:p>
    <w:p w:rsidR="004F4186" w:rsidRPr="002E475B" w:rsidRDefault="00CA3E55" w:rsidP="00CA3E55">
      <w:pPr>
        <w:pStyle w:val="PargrafodaLista"/>
        <w:numPr>
          <w:ilvl w:val="0"/>
          <w:numId w:val="4"/>
        </w:numPr>
        <w:spacing w:line="360" w:lineRule="auto"/>
        <w:ind w:left="142" w:firstLine="0"/>
        <w:jc w:val="both"/>
        <w:rPr>
          <w:rFonts w:ascii="Times New Roman" w:hAnsi="Times New Roman"/>
          <w:b/>
          <w:sz w:val="24"/>
          <w:szCs w:val="24"/>
        </w:rPr>
      </w:pPr>
      <w:r w:rsidRPr="002E475B">
        <w:rPr>
          <w:rFonts w:ascii="Times New Roman" w:hAnsi="Times New Roman"/>
          <w:b/>
          <w:sz w:val="24"/>
          <w:szCs w:val="24"/>
        </w:rPr>
        <w:t>ICMS VERDE (ICMS-V)</w:t>
      </w:r>
    </w:p>
    <w:p w:rsidR="0056006F" w:rsidRPr="00DE4FC8" w:rsidRDefault="00C12E7D" w:rsidP="0078321F">
      <w:pPr>
        <w:jc w:val="both"/>
      </w:pPr>
      <w:r w:rsidRPr="00DE4FC8">
        <w:t>O ICMS</w:t>
      </w:r>
      <w:r w:rsidR="008E5476">
        <w:t xml:space="preserve">-V também conhecido como ICMS Ecológico ou Lei </w:t>
      </w:r>
      <w:proofErr w:type="spellStart"/>
      <w:r w:rsidR="008E5476">
        <w:t>Hob</w:t>
      </w:r>
      <w:proofErr w:type="spellEnd"/>
      <w:r w:rsidR="008E5476">
        <w:t xml:space="preserve"> Hood</w:t>
      </w:r>
      <w:r w:rsidRPr="00DE4FC8">
        <w:t xml:space="preserve"> é considerado como uma transferência intergovernamental, ou seja, </w:t>
      </w:r>
      <w:r w:rsidR="00F15BA1" w:rsidRPr="00DE4FC8">
        <w:t xml:space="preserve">ocorre entre diferentes esferas de governo (do estado para o município). Nesse sentido, </w:t>
      </w:r>
      <w:r w:rsidR="00AF3739" w:rsidRPr="00DE4FC8">
        <w:t>O Brasil</w:t>
      </w:r>
      <w:r w:rsidR="00F15BA1" w:rsidRPr="00DE4FC8">
        <w:t>, e</w:t>
      </w:r>
      <w:r w:rsidR="00B25F96" w:rsidRPr="00DE4FC8">
        <w:t xml:space="preserve">m nível internacional, </w:t>
      </w:r>
      <w:r w:rsidR="00F15BA1" w:rsidRPr="00DE4FC8">
        <w:t>possui um papel de destaque</w:t>
      </w:r>
      <w:r w:rsidR="00C21AA5">
        <w:t>,</w:t>
      </w:r>
      <w:r w:rsidR="00F15BA1" w:rsidRPr="00DE4FC8">
        <w:t xml:space="preserve"> pois </w:t>
      </w:r>
      <w:r w:rsidR="00B25F96" w:rsidRPr="00DE4FC8">
        <w:t xml:space="preserve">atualmente somente o Brasil e Portugal (recentemente) </w:t>
      </w:r>
      <w:r w:rsidR="00895E5D">
        <w:t>instituíram</w:t>
      </w:r>
      <w:r w:rsidR="00B25F96" w:rsidRPr="00DE4FC8">
        <w:t xml:space="preserve"> </w:t>
      </w:r>
      <w:r w:rsidR="00B25F96" w:rsidRPr="00DE4FC8">
        <w:lastRenderedPageBreak/>
        <w:t>transferências fiscais intergovernamenta</w:t>
      </w:r>
      <w:r w:rsidR="00895E5D">
        <w:t>is</w:t>
      </w:r>
      <w:r w:rsidR="00B25F96" w:rsidRPr="00DE4FC8">
        <w:t xml:space="preserve"> para a conservação da biodiversidade. Desta</w:t>
      </w:r>
      <w:r w:rsidR="00895E5D">
        <w:t>que</w:t>
      </w:r>
      <w:r w:rsidR="00B25F96" w:rsidRPr="00DE4FC8">
        <w:t>-se, porém, que em outros países (Suíça, Alemanha, Austrália, Indonésia), esses tipos de transferências têm sido propostos</w:t>
      </w:r>
      <w:r w:rsidR="00DB5C50" w:rsidRPr="00DE4FC8">
        <w:t xml:space="preserve"> (</w:t>
      </w:r>
      <w:r w:rsidR="0098413D" w:rsidRPr="00DE4FC8">
        <w:t>FÉRES; MARCHAND;</w:t>
      </w:r>
      <w:r w:rsidR="00895E5D" w:rsidRPr="00DE4FC8">
        <w:t xml:space="preserve"> </w:t>
      </w:r>
      <w:r w:rsidR="00DB5C50" w:rsidRPr="00DE4FC8">
        <w:t>AUQUET, 2014).</w:t>
      </w:r>
    </w:p>
    <w:p w:rsidR="00076851" w:rsidRPr="00DE4FC8" w:rsidRDefault="00076851" w:rsidP="0078321F">
      <w:pPr>
        <w:autoSpaceDE w:val="0"/>
        <w:autoSpaceDN w:val="0"/>
        <w:adjustRightInd w:val="0"/>
        <w:jc w:val="both"/>
      </w:pPr>
      <w:r w:rsidRPr="00DE4FC8">
        <w:t>O ICMS-</w:t>
      </w:r>
      <w:r w:rsidR="00427015">
        <w:t>V</w:t>
      </w:r>
      <w:r w:rsidRPr="00DE4FC8">
        <w:t xml:space="preserve"> consiste na adoção de critérios ambientais na distribuição de ICMS pelos estados brasileiros aos municípios, de acordo com o disposto no art. </w:t>
      </w:r>
      <w:r w:rsidR="0034426E" w:rsidRPr="00DE4FC8">
        <w:t>158</w:t>
      </w:r>
      <w:r w:rsidRPr="00DE4FC8">
        <w:t xml:space="preserve"> da Constituição Federal. Assim, o ICMS-</w:t>
      </w:r>
      <w:r w:rsidR="00427015">
        <w:t>V</w:t>
      </w:r>
      <w:r w:rsidRPr="00DE4FC8">
        <w:t xml:space="preserve"> não se constitui na criação de um novo imposto, não havendo ônus financeiro para o estado ou aumento da carga tributária dos contribuintes, </w:t>
      </w:r>
      <w:r w:rsidR="00CE237A" w:rsidRPr="00DE4FC8">
        <w:t>existindo</w:t>
      </w:r>
      <w:r w:rsidRPr="00DE4FC8">
        <w:t xml:space="preserve"> 15 experiências de utilização do ICMS-E no Brasil.</w:t>
      </w:r>
    </w:p>
    <w:p w:rsidR="00BA2C1E" w:rsidRPr="00DE4FC8" w:rsidRDefault="0034426E" w:rsidP="0078321F">
      <w:pPr>
        <w:jc w:val="both"/>
      </w:pPr>
      <w:r w:rsidRPr="00DE4FC8">
        <w:t>O conceito de ICMS-</w:t>
      </w:r>
      <w:r w:rsidR="0078321F">
        <w:t>V</w:t>
      </w:r>
      <w:r w:rsidRPr="00DE4FC8">
        <w:t xml:space="preserve"> tem assumido diferentes conotações que, por sua vez, influenciam sua aplicabilidade nos estados que o assumem. </w:t>
      </w:r>
      <w:r w:rsidR="001620D8" w:rsidRPr="00DE4FC8">
        <w:t>Existe a conotação da</w:t>
      </w:r>
      <w:r w:rsidRPr="00DE4FC8">
        <w:t xml:space="preserve"> compensação ambiental</w:t>
      </w:r>
      <w:r w:rsidR="001620D8" w:rsidRPr="00DE4FC8">
        <w:t>, onde o</w:t>
      </w:r>
      <w:r w:rsidRPr="00DE4FC8">
        <w:t xml:space="preserve"> ICMS-</w:t>
      </w:r>
      <w:r w:rsidR="0078321F">
        <w:t>V</w:t>
      </w:r>
      <w:r w:rsidRPr="00DE4FC8">
        <w:t xml:space="preserve"> possui o objetivo de compensar municípios que possuem parcelas ou o todo de seus territórios ocupados por UC, mananciais de abasteciment</w:t>
      </w:r>
      <w:r w:rsidR="00460781" w:rsidRPr="00DE4FC8">
        <w:t>o de água e/ou terras indígenas, possuindo</w:t>
      </w:r>
      <w:r w:rsidRPr="00DE4FC8">
        <w:t xml:space="preserve"> uma relação com o principio do Protetor-Recebedor: “[...] possibilidade do agente público ou privado, que de alguma forma protege o bem ambiental em benefício da comunidade, receba uma compensação ou prêmio pela conservação ou proteção do bem ambiental” (SMITH apud MENDES, 2009).</w:t>
      </w:r>
      <w:r w:rsidR="00974D02" w:rsidRPr="00DE4FC8">
        <w:t xml:space="preserve"> No âmbito da compensação ambiental destaca-se que o ICMS</w:t>
      </w:r>
      <w:r w:rsidR="00895E5D">
        <w:t>-</w:t>
      </w:r>
      <w:r w:rsidR="00974D02" w:rsidRPr="00DE4FC8">
        <w:t>E funciona sem qualquer financiamento externo, havendo um favorecimento para os municípios com recursos adicionais advindos do ICMS</w:t>
      </w:r>
      <w:r w:rsidR="000D4E3E" w:rsidRPr="00DE4FC8">
        <w:t xml:space="preserve"> (FERNANDES et al, 2011)</w:t>
      </w:r>
      <w:r w:rsidR="00974D02" w:rsidRPr="00DE4FC8">
        <w:t>.</w:t>
      </w:r>
      <w:r w:rsidR="00BA2C1E" w:rsidRPr="00DE4FC8">
        <w:t xml:space="preserve"> Porém</w:t>
      </w:r>
      <w:r w:rsidR="00D64B33" w:rsidRPr="00DE4FC8">
        <w:t xml:space="preserve">, </w:t>
      </w:r>
      <w:r w:rsidR="00BA2C1E" w:rsidRPr="00DE4FC8">
        <w:t>questiona</w:t>
      </w:r>
      <w:r w:rsidR="00BA7EDB" w:rsidRPr="00DE4FC8">
        <w:t>-se</w:t>
      </w:r>
      <w:r w:rsidR="00BA2C1E" w:rsidRPr="00DE4FC8">
        <w:t xml:space="preserve"> sobre em que medida o ICMS-</w:t>
      </w:r>
      <w:r w:rsidR="00427015">
        <w:t>V</w:t>
      </w:r>
      <w:r w:rsidR="00BA2C1E" w:rsidRPr="00DE4FC8">
        <w:t xml:space="preserve"> efetivamente é uma compensação ambiental que contempla todos os municípios </w:t>
      </w:r>
      <w:r w:rsidR="00BA7EDB" w:rsidRPr="00DE4FC8">
        <w:t xml:space="preserve">que possuem AP </w:t>
      </w:r>
      <w:r w:rsidR="00BA2C1E" w:rsidRPr="00DE4FC8">
        <w:t>homogeneamente, contribui</w:t>
      </w:r>
      <w:r w:rsidR="00BA7EDB" w:rsidRPr="00DE4FC8">
        <w:t>ndo</w:t>
      </w:r>
      <w:r w:rsidR="00BA2C1E" w:rsidRPr="00DE4FC8">
        <w:t xml:space="preserve"> para o desencadeamento do desenvolvimento</w:t>
      </w:r>
      <w:r w:rsidR="00BA7EDB" w:rsidRPr="00DE4FC8">
        <w:t xml:space="preserve"> local a partir de aumento da receita de ICMS.</w:t>
      </w:r>
    </w:p>
    <w:p w:rsidR="00BA2C1E" w:rsidRPr="00DE4FC8" w:rsidRDefault="00BA2C1E" w:rsidP="0078321F">
      <w:pPr>
        <w:autoSpaceDE w:val="0"/>
        <w:autoSpaceDN w:val="0"/>
        <w:adjustRightInd w:val="0"/>
        <w:jc w:val="both"/>
        <w:rPr>
          <w:lang w:val="pt-PT"/>
        </w:rPr>
      </w:pPr>
      <w:r w:rsidRPr="00DE4FC8">
        <w:rPr>
          <w:lang w:val="pt-PT"/>
        </w:rPr>
        <w:t xml:space="preserve">Grieg-Gran (2000) demonstra </w:t>
      </w:r>
      <w:r w:rsidR="00895E5D">
        <w:rPr>
          <w:lang w:val="pt-PT"/>
        </w:rPr>
        <w:t xml:space="preserve">que </w:t>
      </w:r>
      <w:r w:rsidRPr="00DE4FC8">
        <w:rPr>
          <w:lang w:val="pt-PT"/>
        </w:rPr>
        <w:t>o fator de conservação (porcentagem do total de UC no território do estado) aumenta à medida que as UC são criadas. Como o critério ambiental é calculado pela divisão do fator de conservação do município (porcentagem da UC no território do município) pelo fator de conservação do estado, um município pode criar uma nova UC, mas ainda apresentar diminuição no ICMS-E, pois muitos outros municípios também possuem e/ou estão criando UC.</w:t>
      </w:r>
    </w:p>
    <w:p w:rsidR="00BA2C1E" w:rsidRPr="00DE4FC8" w:rsidRDefault="00AB587B" w:rsidP="0078321F">
      <w:pPr>
        <w:jc w:val="both"/>
      </w:pPr>
      <w:r w:rsidRPr="00DE4FC8">
        <w:t>Destaca-se também que</w:t>
      </w:r>
      <w:r w:rsidR="00BA2C1E" w:rsidRPr="00DE4FC8">
        <w:t xml:space="preserve"> os resultados apontados no estudo desenvolvido por Mendes (2009) a respeito do Amapá demonstram três pontos importantes: 1) em dez anos de existência, o ICMS-</w:t>
      </w:r>
      <w:r w:rsidR="00427015">
        <w:t>V</w:t>
      </w:r>
      <w:r w:rsidR="00BA2C1E" w:rsidRPr="00DE4FC8">
        <w:t xml:space="preserve"> não gerou nenhuma UC municipal. Salienta-se que 61,60% do território amapaense é ocupado por diversas categorias de UC e AP (TI e áreas quilombolas) não consideradas para o ICMS-</w:t>
      </w:r>
      <w:r w:rsidR="00427015">
        <w:t>V</w:t>
      </w:r>
      <w:r w:rsidR="00BA2C1E" w:rsidRPr="00DE4FC8">
        <w:t xml:space="preserve">; 2) entre os dez critérios de distribuição de ICMS no Amapá, pelo menos seis critérios causam impactos e </w:t>
      </w:r>
      <w:proofErr w:type="spellStart"/>
      <w:r w:rsidR="00BA2C1E" w:rsidRPr="00DE4FC8">
        <w:t>antropizam</w:t>
      </w:r>
      <w:proofErr w:type="spellEnd"/>
      <w:r w:rsidR="00BA2C1E" w:rsidRPr="00DE4FC8">
        <w:t xml:space="preserve"> o meio ambiente, em especial, por favorecerem os municípios de Macapá e Santana, os mais populosos e dinâmicos economicamente do Amapá; e 3) após a adoção do ICMS-</w:t>
      </w:r>
      <w:r w:rsidR="0078321F">
        <w:t>V</w:t>
      </w:r>
      <w:r w:rsidR="00BA2C1E" w:rsidRPr="00DE4FC8">
        <w:t>, a concentração da repartição da receita de ICMS aos municípios de Macapá e Santana aumentou, ao contrário da lógica observada em outros estados, em que os municípios mais ricos perdem arrecadação em função do benefício obtido por municípios que desenvolvem ações de proteção ao meio ambiente.</w:t>
      </w:r>
    </w:p>
    <w:p w:rsidR="0034426E" w:rsidRPr="00DE4FC8" w:rsidRDefault="001620D8" w:rsidP="0078321F">
      <w:pPr>
        <w:jc w:val="both"/>
      </w:pPr>
      <w:r w:rsidRPr="00DE4FC8">
        <w:t>O ICMS-</w:t>
      </w:r>
      <w:r w:rsidR="00427015">
        <w:t>V</w:t>
      </w:r>
      <w:r w:rsidRPr="00DE4FC8">
        <w:t xml:space="preserve"> pode também ser </w:t>
      </w:r>
      <w:r w:rsidR="0034426E" w:rsidRPr="00DE4FC8">
        <w:t>interpretado como um subsídio (TUPIASSU, 2003; NERY, 2006) e atua como recompensa por reduzir emissões ou degradações sobre o meio natural (FIELD apud NERY, 2006), apresentando-se como um forte instrumento</w:t>
      </w:r>
      <w:r w:rsidR="00460781" w:rsidRPr="00DE4FC8">
        <w:t xml:space="preserve"> econômico de incentivo fiscal, objetivando</w:t>
      </w:r>
      <w:r w:rsidR="0034426E" w:rsidRPr="00DE4FC8">
        <w:t xml:space="preserve"> não somente alcançar a preservação ambiental prevista na Constituição Brasileira, mas promover a justiça fiscal (TUPIASSU, 2003). </w:t>
      </w:r>
    </w:p>
    <w:p w:rsidR="00D64B33" w:rsidRDefault="00AB587B" w:rsidP="0078321F">
      <w:pPr>
        <w:jc w:val="both"/>
        <w:rPr>
          <w:color w:val="000000" w:themeColor="text1"/>
        </w:rPr>
      </w:pPr>
      <w:r w:rsidRPr="00DE4FC8">
        <w:t>Porém, s</w:t>
      </w:r>
      <w:r w:rsidR="00D64B33" w:rsidRPr="00DE4FC8">
        <w:t xml:space="preserve">egundo </w:t>
      </w:r>
      <w:proofErr w:type="spellStart"/>
      <w:r w:rsidR="00D64B33" w:rsidRPr="00DE4FC8">
        <w:t>Ferandes</w:t>
      </w:r>
      <w:proofErr w:type="spellEnd"/>
      <w:r w:rsidR="00D64B33" w:rsidRPr="00DE4FC8">
        <w:t xml:space="preserve"> et al (2011), em um estudo sobre o estado de Minas Gerais, o ICMS possui uma função incentivadora </w:t>
      </w:r>
      <w:r w:rsidR="00914320" w:rsidRPr="00DE4FC8">
        <w:t>relacionada à</w:t>
      </w:r>
      <w:r w:rsidR="00D64B33" w:rsidRPr="00DE4FC8">
        <w:t xml:space="preserve"> preservação e </w:t>
      </w:r>
      <w:r w:rsidR="00895E5D">
        <w:t>à</w:t>
      </w:r>
      <w:r w:rsidR="00D64B33" w:rsidRPr="00DE4FC8">
        <w:t xml:space="preserve"> conservação do meio ambiente, uma vez que há uma relação direta entre o montante recebido pelo município e o crescimento de áreas protegidas. </w:t>
      </w:r>
      <w:r w:rsidR="00D64B33" w:rsidRPr="00EB4250">
        <w:rPr>
          <w:color w:val="000000" w:themeColor="text1"/>
        </w:rPr>
        <w:t xml:space="preserve">Porém, esse instrumento somente uma parte dos municípios (a maior), mas vem perdendo sua importância nos últimos anos. </w:t>
      </w:r>
    </w:p>
    <w:p w:rsidR="0078321F" w:rsidRPr="00895E5D" w:rsidRDefault="0078321F" w:rsidP="0078321F">
      <w:pPr>
        <w:jc w:val="both"/>
        <w:rPr>
          <w:color w:val="FF0000"/>
        </w:rPr>
      </w:pPr>
    </w:p>
    <w:p w:rsidR="00D11D39" w:rsidRPr="00DE4FC8" w:rsidRDefault="00D11D39" w:rsidP="0078321F">
      <w:pPr>
        <w:jc w:val="both"/>
        <w:rPr>
          <w:b/>
        </w:rPr>
      </w:pPr>
    </w:p>
    <w:p w:rsidR="0074579C" w:rsidRPr="0078321F" w:rsidRDefault="002E475B" w:rsidP="0078321F">
      <w:pPr>
        <w:jc w:val="both"/>
        <w:rPr>
          <w:b/>
        </w:rPr>
      </w:pPr>
      <w:r w:rsidRPr="0078321F">
        <w:rPr>
          <w:b/>
        </w:rPr>
        <w:t>4</w:t>
      </w:r>
      <w:r w:rsidR="0074579C" w:rsidRPr="0078321F">
        <w:rPr>
          <w:b/>
        </w:rPr>
        <w:t>.1 ICMS VERDE NO PARÁ</w:t>
      </w:r>
    </w:p>
    <w:p w:rsidR="00427015" w:rsidRDefault="00427015" w:rsidP="0078321F">
      <w:pPr>
        <w:jc w:val="both"/>
      </w:pPr>
    </w:p>
    <w:p w:rsidR="00AE5203" w:rsidRPr="00DE4FC8" w:rsidRDefault="00424E95" w:rsidP="0078321F">
      <w:pPr>
        <w:autoSpaceDE w:val="0"/>
        <w:autoSpaceDN w:val="0"/>
        <w:adjustRightInd w:val="0"/>
        <w:snapToGrid w:val="0"/>
        <w:jc w:val="both"/>
      </w:pPr>
      <w:r w:rsidRPr="00DE4FC8">
        <w:t>O</w:t>
      </w:r>
      <w:r w:rsidR="0074579C" w:rsidRPr="00DE4FC8">
        <w:t xml:space="preserve"> ICMS</w:t>
      </w:r>
      <w:r w:rsidR="00E83FF5" w:rsidRPr="00DE4FC8">
        <w:t xml:space="preserve"> Verde</w:t>
      </w:r>
      <w:r w:rsidRPr="00DE4FC8">
        <w:t xml:space="preserve"> instituído no Estado do Pará</w:t>
      </w:r>
      <w:r w:rsidR="00E83FF5" w:rsidRPr="00DE4FC8">
        <w:t xml:space="preserve">, segundo </w:t>
      </w:r>
      <w:proofErr w:type="spellStart"/>
      <w:r w:rsidR="00DC3D1B" w:rsidRPr="00DE4FC8">
        <w:t>Idesp</w:t>
      </w:r>
      <w:proofErr w:type="spellEnd"/>
      <w:r w:rsidR="00DC3D1B" w:rsidRPr="00DE4FC8">
        <w:t xml:space="preserve"> (2013), considera para estabelecimento das cotas-parte de ICMS aos municípios</w:t>
      </w:r>
      <w:r w:rsidR="006E35B6" w:rsidRPr="00DE4FC8">
        <w:t>,</w:t>
      </w:r>
      <w:r w:rsidR="00DC3D1B" w:rsidRPr="00DE4FC8">
        <w:t xml:space="preserve"> a adoção </w:t>
      </w:r>
      <w:proofErr w:type="gramStart"/>
      <w:r w:rsidR="00DC3D1B" w:rsidRPr="00DE4FC8">
        <w:t xml:space="preserve">de </w:t>
      </w:r>
      <w:r w:rsidR="00E83FF5" w:rsidRPr="00DE4FC8">
        <w:t xml:space="preserve"> medidas</w:t>
      </w:r>
      <w:proofErr w:type="gramEnd"/>
      <w:r w:rsidR="00E83FF5" w:rsidRPr="00DE4FC8">
        <w:t xml:space="preserve"> de mitigação do desmatamento, </w:t>
      </w:r>
      <w:r w:rsidR="00DC3D1B" w:rsidRPr="00DE4FC8">
        <w:t xml:space="preserve">a </w:t>
      </w:r>
      <w:r w:rsidR="00E83FF5" w:rsidRPr="00DE4FC8">
        <w:t>existência de Áreas Protegidas</w:t>
      </w:r>
      <w:r w:rsidR="00DC3D1B" w:rsidRPr="00DE4FC8">
        <w:t xml:space="preserve"> e a </w:t>
      </w:r>
      <w:r w:rsidR="00E83FF5" w:rsidRPr="00DE4FC8">
        <w:t>realização do Cadastro Ambiental Rural</w:t>
      </w:r>
      <w:r w:rsidR="00DC3D1B" w:rsidRPr="00DE4FC8">
        <w:t xml:space="preserve"> (</w:t>
      </w:r>
      <w:r w:rsidR="00E83FF5" w:rsidRPr="00DE4FC8">
        <w:t>CAR</w:t>
      </w:r>
      <w:r w:rsidR="00DC3D1B" w:rsidRPr="00DE4FC8">
        <w:t>)</w:t>
      </w:r>
      <w:r w:rsidR="006E35B6" w:rsidRPr="00DE4FC8">
        <w:t>, compensando municípios que possuem  áreas protegidas em seus territórios e incentivando os municípios a adotarem iniciativas de conservação e desenvolvimento sustentável</w:t>
      </w:r>
      <w:r w:rsidR="00E83FF5" w:rsidRPr="00DE4FC8">
        <w:t>.</w:t>
      </w:r>
      <w:r w:rsidR="00E83FF5" w:rsidRPr="00DE4FC8">
        <w:rPr>
          <w:sz w:val="23"/>
          <w:szCs w:val="23"/>
        </w:rPr>
        <w:t xml:space="preserve"> </w:t>
      </w:r>
      <w:r w:rsidR="0074579C" w:rsidRPr="00DE4FC8">
        <w:t xml:space="preserve"> </w:t>
      </w:r>
      <w:r w:rsidR="00DC3D1B" w:rsidRPr="00DE4FC8">
        <w:t>Destaca-se que o ICMS Verde</w:t>
      </w:r>
      <w:r w:rsidR="0074579C" w:rsidRPr="00DE4FC8">
        <w:t xml:space="preserve"> foi instituído pela Lei 7.638, de 12 de julho de 2012, regulamentada pelo Decreto 775, de 26 de junho de 2013 e pela Portaria SEMA 1.562, de 27 de junho de 2013 (PARÁ, 2014)</w:t>
      </w:r>
      <w:r w:rsidR="005908FA" w:rsidRPr="00DE4FC8">
        <w:t>.</w:t>
      </w:r>
      <w:r w:rsidRPr="00DE4FC8">
        <w:t xml:space="preserve"> Dessa forma, afasta-se da lógica do Estado formulando e implementando políticas públicas por meio uma norma emanada pelo governo central de cunho punitivo, com ações de comando e controle voltadas para assegurar a produtividade e o desenvolvimento econômico.</w:t>
      </w:r>
    </w:p>
    <w:p w:rsidR="005908FA" w:rsidRPr="00DE4FC8" w:rsidRDefault="006A2F99" w:rsidP="0078321F">
      <w:pPr>
        <w:autoSpaceDE w:val="0"/>
        <w:autoSpaceDN w:val="0"/>
        <w:adjustRightInd w:val="0"/>
        <w:snapToGrid w:val="0"/>
        <w:jc w:val="both"/>
      </w:pPr>
      <w:r>
        <w:t>E</w:t>
      </w:r>
      <w:r w:rsidR="005908FA" w:rsidRPr="00DE4FC8">
        <w:t>ntende-se o ICMS</w:t>
      </w:r>
      <w:r>
        <w:t>-</w:t>
      </w:r>
      <w:r w:rsidR="005908FA" w:rsidRPr="00DE4FC8">
        <w:t xml:space="preserve">V paraense como um instrumento inserido em um processo </w:t>
      </w:r>
      <w:r>
        <w:t xml:space="preserve">de tentativa </w:t>
      </w:r>
      <w:r w:rsidR="005908FA" w:rsidRPr="00DE4FC8">
        <w:t>de entrelaçamento de arcabouços institucionais de regras</w:t>
      </w:r>
      <w:r w:rsidR="00B06FF1" w:rsidRPr="00DE4FC8">
        <w:t>, instituições e processos, que exige a colaboração de esforços conjuntos de diversos órgãos do estado, sociedade civil e mercado para o seu sucesso.</w:t>
      </w:r>
    </w:p>
    <w:p w:rsidR="002863F9" w:rsidRPr="00DE4FC8" w:rsidRDefault="002863F9" w:rsidP="0078321F">
      <w:pPr>
        <w:autoSpaceDE w:val="0"/>
        <w:autoSpaceDN w:val="0"/>
        <w:adjustRightInd w:val="0"/>
        <w:snapToGrid w:val="0"/>
        <w:jc w:val="both"/>
      </w:pPr>
      <w:r w:rsidRPr="00DE4FC8">
        <w:t>A Constituição Brasileira promulgada em 1988</w:t>
      </w:r>
      <w:r w:rsidR="003E6FDE" w:rsidRPr="00DE4FC8">
        <w:t xml:space="preserve"> possui</w:t>
      </w:r>
      <w:r w:rsidRPr="00DE4FC8">
        <w:t xml:space="preserve"> um capítulo sobre meio ambiente. No art. 225, Capítulo 6 do Título VIII, dispõe sobre o direito ao meio ambiente: </w:t>
      </w:r>
    </w:p>
    <w:p w:rsidR="002863F9" w:rsidRPr="00DE4FC8" w:rsidRDefault="002863F9" w:rsidP="0078321F">
      <w:pPr>
        <w:autoSpaceDE w:val="0"/>
        <w:autoSpaceDN w:val="0"/>
        <w:adjustRightInd w:val="0"/>
        <w:snapToGrid w:val="0"/>
        <w:jc w:val="both"/>
      </w:pPr>
    </w:p>
    <w:p w:rsidR="002863F9" w:rsidRPr="00DE4FC8" w:rsidRDefault="002863F9" w:rsidP="0078321F">
      <w:pPr>
        <w:autoSpaceDE w:val="0"/>
        <w:autoSpaceDN w:val="0"/>
        <w:adjustRightInd w:val="0"/>
        <w:snapToGrid w:val="0"/>
        <w:ind w:left="2340"/>
        <w:jc w:val="both"/>
        <w:rPr>
          <w:sz w:val="20"/>
          <w:szCs w:val="20"/>
        </w:rPr>
      </w:pPr>
      <w:r w:rsidRPr="00DE4FC8">
        <w:rPr>
          <w:sz w:val="20"/>
          <w:szCs w:val="20"/>
        </w:rPr>
        <w:t>“Todos tem direito ao meio ambiente ecologicamente equilibrado, bem de uso comum do povo e essencial à sadia qualidade de vida, impondo-se ao Poder Público e à coletividade o dever de defendê-lo e preservá-lo para as presentes e futuras gerações” (BRASIL, 1988).</w:t>
      </w:r>
    </w:p>
    <w:p w:rsidR="002863F9" w:rsidRPr="00DE4FC8" w:rsidRDefault="002863F9" w:rsidP="0078321F">
      <w:pPr>
        <w:autoSpaceDE w:val="0"/>
        <w:autoSpaceDN w:val="0"/>
        <w:adjustRightInd w:val="0"/>
        <w:snapToGrid w:val="0"/>
        <w:ind w:left="2340"/>
        <w:jc w:val="both"/>
        <w:rPr>
          <w:sz w:val="20"/>
          <w:szCs w:val="20"/>
        </w:rPr>
      </w:pPr>
    </w:p>
    <w:p w:rsidR="00424E95" w:rsidRPr="00DE4FC8" w:rsidRDefault="002863F9" w:rsidP="0078321F">
      <w:pPr>
        <w:autoSpaceDE w:val="0"/>
        <w:autoSpaceDN w:val="0"/>
        <w:adjustRightInd w:val="0"/>
        <w:snapToGrid w:val="0"/>
        <w:jc w:val="both"/>
      </w:pPr>
      <w:r w:rsidRPr="00DE4FC8">
        <w:t xml:space="preserve">Nesse sentido, é dever do Estado Brasileiro, ou seja, de todos os entes federados bem como dos atores sociais a defesa e preservação do meio ambiente, sendo que, ao Poder Público cabe a implementação de políticas públicas voltadas à preservação, conservação do meio natural, desenvolvimento com base no uso racional dos recursos naturais e a garantia de qualidade de vida para a população. São deveres da sociedade civil o controle e a avaliação da gestão ambiental, resguardada a sua participação no processo decisório. </w:t>
      </w:r>
    </w:p>
    <w:p w:rsidR="006A2F99" w:rsidRDefault="00424E95" w:rsidP="0078321F">
      <w:pPr>
        <w:autoSpaceDE w:val="0"/>
        <w:autoSpaceDN w:val="0"/>
        <w:adjustRightInd w:val="0"/>
        <w:snapToGrid w:val="0"/>
        <w:jc w:val="both"/>
      </w:pPr>
      <w:r w:rsidRPr="00DE4FC8">
        <w:t xml:space="preserve">A partir da Política Nacional do Meio Ambiente, com o objetivo de preservar a qualidade ambiental propícia à vida, “visando assegurar, no País, condições no desenvolvimento </w:t>
      </w:r>
      <w:r w:rsidR="0010721F" w:rsidRPr="00DE4FC8">
        <w:t>socioeconômico</w:t>
      </w:r>
      <w:r w:rsidRPr="00DE4FC8">
        <w:t>, aos interesses da segurança nacional e à proteção da dignidade da vida humana” (BORDALO, 2007), percebe-se uma perspectiva sistêmica e complexa para a Governança Ambiental, ou seja, incluindo-se aí a natureza e os aspectos culturais, sociais e econômicos das sociedades humanas</w:t>
      </w:r>
      <w:r w:rsidR="0010721F" w:rsidRPr="00DE4FC8">
        <w:t>, contemplando as quatro dimensões d</w:t>
      </w:r>
      <w:r w:rsidR="002863F9" w:rsidRPr="00DE4FC8">
        <w:t xml:space="preserve">a Boa Governança (WORLD BANK </w:t>
      </w:r>
      <w:r w:rsidR="002863F9" w:rsidRPr="00DE4FC8">
        <w:rPr>
          <w:i/>
        </w:rPr>
        <w:t xml:space="preserve">apud </w:t>
      </w:r>
      <w:r w:rsidR="002863F9" w:rsidRPr="00DE4FC8">
        <w:t>CAMARA, 2013): administração do setor público; quadro legal; participação e prestação de contas (</w:t>
      </w:r>
      <w:proofErr w:type="spellStart"/>
      <w:r w:rsidR="002863F9" w:rsidRPr="00DE4FC8">
        <w:t>accountability</w:t>
      </w:r>
      <w:proofErr w:type="spellEnd"/>
      <w:r w:rsidR="002863F9" w:rsidRPr="00DE4FC8">
        <w:t>); e informação e transparência.</w:t>
      </w:r>
    </w:p>
    <w:p w:rsidR="00427015" w:rsidRDefault="00427015" w:rsidP="0078321F">
      <w:pPr>
        <w:autoSpaceDE w:val="0"/>
        <w:autoSpaceDN w:val="0"/>
        <w:adjustRightInd w:val="0"/>
        <w:snapToGrid w:val="0"/>
        <w:jc w:val="both"/>
      </w:pPr>
    </w:p>
    <w:p w:rsidR="00DF4A3F" w:rsidRPr="002E475B" w:rsidRDefault="00CA3E55" w:rsidP="0078321F">
      <w:pPr>
        <w:pStyle w:val="PargrafodaLista"/>
        <w:numPr>
          <w:ilvl w:val="0"/>
          <w:numId w:val="4"/>
        </w:numPr>
        <w:autoSpaceDE w:val="0"/>
        <w:autoSpaceDN w:val="0"/>
        <w:adjustRightInd w:val="0"/>
        <w:snapToGrid w:val="0"/>
        <w:spacing w:line="240" w:lineRule="auto"/>
        <w:ind w:left="142" w:firstLine="0"/>
        <w:jc w:val="both"/>
        <w:rPr>
          <w:rFonts w:ascii="Times New Roman" w:hAnsi="Times New Roman"/>
          <w:b/>
          <w:sz w:val="24"/>
          <w:szCs w:val="24"/>
        </w:rPr>
      </w:pPr>
      <w:r w:rsidRPr="002E475B">
        <w:rPr>
          <w:rFonts w:ascii="Times New Roman" w:hAnsi="Times New Roman"/>
          <w:b/>
          <w:sz w:val="24"/>
          <w:szCs w:val="24"/>
        </w:rPr>
        <w:t>METODOLOGIA</w:t>
      </w:r>
    </w:p>
    <w:p w:rsidR="00862742" w:rsidRPr="002E475B" w:rsidRDefault="006D04C5" w:rsidP="0078321F">
      <w:pPr>
        <w:autoSpaceDE w:val="0"/>
        <w:autoSpaceDN w:val="0"/>
        <w:adjustRightInd w:val="0"/>
        <w:snapToGrid w:val="0"/>
        <w:jc w:val="both"/>
      </w:pPr>
      <w:r w:rsidRPr="002E475B">
        <w:t>Trata-se de u</w:t>
      </w:r>
      <w:r w:rsidR="00862742" w:rsidRPr="002E475B">
        <w:t>ma pesquisa de cunho exploratório por se tratar de um instrumento relativamente novo em termos de aplicação no Estado do Pará. Utilizou-se a pesquisa documental e dados secundários retirados de sites oficiais (</w:t>
      </w:r>
      <w:proofErr w:type="spellStart"/>
      <w:r w:rsidR="00862742" w:rsidRPr="002E475B">
        <w:t>Sefa</w:t>
      </w:r>
      <w:proofErr w:type="spellEnd"/>
      <w:r w:rsidR="00862742" w:rsidRPr="002E475B">
        <w:t xml:space="preserve"> e Programa Municípios Verdes). </w:t>
      </w:r>
    </w:p>
    <w:p w:rsidR="00862742" w:rsidRPr="002E475B" w:rsidRDefault="00862742" w:rsidP="0078321F">
      <w:pPr>
        <w:autoSpaceDE w:val="0"/>
        <w:autoSpaceDN w:val="0"/>
        <w:adjustRightInd w:val="0"/>
        <w:snapToGrid w:val="0"/>
        <w:jc w:val="both"/>
      </w:pPr>
      <w:r w:rsidRPr="002E475B">
        <w:t xml:space="preserve">Adicionalmente, utilizou-se uma abordagem quantitativa com a utilização do coeficiente de correlação de Pearson efetuado no software SPSS. As variáveis utilizadas foram: a) Cota-parte de repasse de ICMS-V cuja fonte foi o site do Programa Municípios Verdes, b) Incremento de Queimadas cuja fonte foi o Projeto </w:t>
      </w:r>
      <w:proofErr w:type="spellStart"/>
      <w:r w:rsidRPr="002E475B">
        <w:t>Prodes</w:t>
      </w:r>
      <w:proofErr w:type="spellEnd"/>
      <w:r w:rsidRPr="002E475B">
        <w:t xml:space="preserve">/INPE, c) Áreas Protegidas, d) </w:t>
      </w:r>
      <w:r w:rsidRPr="002E475B">
        <w:lastRenderedPageBreak/>
        <w:t xml:space="preserve">Unidades de Conservação e </w:t>
      </w:r>
      <w:proofErr w:type="spellStart"/>
      <w:r w:rsidRPr="002E475B">
        <w:t>e</w:t>
      </w:r>
      <w:proofErr w:type="spellEnd"/>
      <w:r w:rsidRPr="002E475B">
        <w:t>) Terras indígenas, as últimas cujas fontes foram o Zoneamento Ecológico-Econômico do Estado do Pará.</w:t>
      </w:r>
    </w:p>
    <w:p w:rsidR="00DF4A3F" w:rsidRPr="002E475B" w:rsidRDefault="00862742" w:rsidP="0078321F">
      <w:pPr>
        <w:autoSpaceDE w:val="0"/>
        <w:autoSpaceDN w:val="0"/>
        <w:adjustRightInd w:val="0"/>
        <w:snapToGrid w:val="0"/>
        <w:jc w:val="both"/>
      </w:pPr>
      <w:r w:rsidRPr="002E475B">
        <w:t>Destaca-se que se utilizou as cotas-partes de repasse para o ICMS-V relativas ao exercício financeiro de 2014 pois foram os dados mais atualizados disponíveis no site do Programa Municípios Verdes.</w:t>
      </w:r>
    </w:p>
    <w:p w:rsidR="00427015" w:rsidRDefault="00427015" w:rsidP="0078321F">
      <w:pPr>
        <w:autoSpaceDE w:val="0"/>
        <w:autoSpaceDN w:val="0"/>
        <w:adjustRightInd w:val="0"/>
        <w:snapToGrid w:val="0"/>
        <w:jc w:val="both"/>
      </w:pPr>
    </w:p>
    <w:p w:rsidR="006A2F99" w:rsidRPr="002E475B" w:rsidRDefault="00CA3E55" w:rsidP="0078321F">
      <w:pPr>
        <w:pStyle w:val="PargrafodaLista"/>
        <w:numPr>
          <w:ilvl w:val="0"/>
          <w:numId w:val="4"/>
        </w:numPr>
        <w:autoSpaceDE w:val="0"/>
        <w:autoSpaceDN w:val="0"/>
        <w:adjustRightInd w:val="0"/>
        <w:snapToGrid w:val="0"/>
        <w:spacing w:line="240" w:lineRule="auto"/>
        <w:ind w:left="142" w:firstLine="0"/>
        <w:jc w:val="both"/>
        <w:rPr>
          <w:rFonts w:ascii="Times New Roman" w:hAnsi="Times New Roman"/>
          <w:b/>
          <w:sz w:val="24"/>
          <w:szCs w:val="24"/>
        </w:rPr>
      </w:pPr>
      <w:r w:rsidRPr="002E475B">
        <w:rPr>
          <w:rFonts w:ascii="Times New Roman" w:hAnsi="Times New Roman"/>
          <w:b/>
          <w:sz w:val="24"/>
          <w:szCs w:val="24"/>
        </w:rPr>
        <w:t>RESULTADOS E DISCUSSÃO</w:t>
      </w:r>
    </w:p>
    <w:p w:rsidR="006A2F99" w:rsidRPr="002E475B" w:rsidRDefault="006A2F99" w:rsidP="0078321F">
      <w:pPr>
        <w:autoSpaceDE w:val="0"/>
        <w:autoSpaceDN w:val="0"/>
        <w:adjustRightInd w:val="0"/>
        <w:snapToGrid w:val="0"/>
        <w:jc w:val="both"/>
      </w:pPr>
      <w:r w:rsidRPr="002E475B">
        <w:t xml:space="preserve">O Site do Programa Municípios Verdes se encontra desatualizado e os links relativos à Base de Dados não abrem. No site da Secretaria da Fazenda do Estado do Pará (SEFA) não existem informações atualizadas sobre os cálculos de cota-parte de ICMS atualizados e sobre os critérios utilizados para formação e distribuição das cotas-parte de ICMS-V. Esse é o principal limite dessa pesquisa. Isso porque a essência da contabilidade é o fornecimento de informações úteis e relevantes para a tomada de decisão e não existem dados para o processamento da informação. </w:t>
      </w:r>
    </w:p>
    <w:p w:rsidR="00723D08" w:rsidRPr="00DE4FC8" w:rsidRDefault="002863F9" w:rsidP="0078321F">
      <w:pPr>
        <w:autoSpaceDE w:val="0"/>
        <w:autoSpaceDN w:val="0"/>
        <w:adjustRightInd w:val="0"/>
        <w:snapToGrid w:val="0"/>
        <w:jc w:val="both"/>
      </w:pPr>
      <w:r w:rsidRPr="002E475B">
        <w:t xml:space="preserve">Quanto </w:t>
      </w:r>
      <w:r w:rsidR="0010721F" w:rsidRPr="002E475B">
        <w:t>à dimensão da</w:t>
      </w:r>
      <w:r w:rsidRPr="002E475B">
        <w:t xml:space="preserve"> administração do setor público, em relação ao ICMS</w:t>
      </w:r>
      <w:r w:rsidR="006A2F99" w:rsidRPr="002E475B">
        <w:t>-</w:t>
      </w:r>
      <w:r w:rsidRPr="002E475B">
        <w:t>V paraense, a</w:t>
      </w:r>
      <w:r w:rsidR="00AE5203" w:rsidRPr="002E475B">
        <w:t xml:space="preserve">té o momento, </w:t>
      </w:r>
      <w:r w:rsidRPr="002E475B">
        <w:t xml:space="preserve">segundo Pará (2014), somente </w:t>
      </w:r>
      <w:r w:rsidR="00AE5203" w:rsidRPr="002E475B">
        <w:t>os municípios de Monte</w:t>
      </w:r>
      <w:r w:rsidR="00AE5203" w:rsidRPr="00DE4FC8">
        <w:t xml:space="preserve"> Alegre,</w:t>
      </w:r>
      <w:r w:rsidR="000333E6" w:rsidRPr="00DE4FC8">
        <w:t xml:space="preserve"> </w:t>
      </w:r>
      <w:r w:rsidR="00AE5203" w:rsidRPr="00DE4FC8">
        <w:t xml:space="preserve">Óbidos e </w:t>
      </w:r>
      <w:proofErr w:type="spellStart"/>
      <w:r w:rsidR="00AE5203" w:rsidRPr="00DE4FC8">
        <w:t>Curuá</w:t>
      </w:r>
      <w:proofErr w:type="spellEnd"/>
      <w:r w:rsidR="00AE5203" w:rsidRPr="00DE4FC8">
        <w:t xml:space="preserve"> regulamentaram a Lei Estadual</w:t>
      </w:r>
      <w:r w:rsidRPr="00DE4FC8">
        <w:t xml:space="preserve"> necessária para</w:t>
      </w:r>
      <w:r w:rsidR="00AE5203" w:rsidRPr="00DE4FC8">
        <w:t xml:space="preserve"> </w:t>
      </w:r>
      <w:r w:rsidRPr="00DE4FC8">
        <w:t xml:space="preserve">transferência automática da totalidade </w:t>
      </w:r>
      <w:r w:rsidR="006A2F99">
        <w:t>dos recursos advindos do ICMS-</w:t>
      </w:r>
      <w:r w:rsidR="00AE5203" w:rsidRPr="00DE4FC8">
        <w:t>V para o Fundo Municipal de Meio</w:t>
      </w:r>
      <w:r w:rsidR="000333E6" w:rsidRPr="00DE4FC8">
        <w:t xml:space="preserve"> Ambiente</w:t>
      </w:r>
      <w:r w:rsidRPr="00DE4FC8">
        <w:t>, constituindo-se em uma fragilidade para gestão do recurso e obtenção de informações necessárias para o controle social.</w:t>
      </w:r>
      <w:r w:rsidR="000333E6" w:rsidRPr="00DE4FC8">
        <w:t xml:space="preserve"> </w:t>
      </w:r>
    </w:p>
    <w:p w:rsidR="00723D08" w:rsidRPr="00DE4FC8" w:rsidRDefault="006A2F99" w:rsidP="0078321F">
      <w:pPr>
        <w:autoSpaceDE w:val="0"/>
        <w:autoSpaceDN w:val="0"/>
        <w:adjustRightInd w:val="0"/>
        <w:snapToGrid w:val="0"/>
        <w:jc w:val="both"/>
      </w:pPr>
      <w:r>
        <w:t>Ainda s</w:t>
      </w:r>
      <w:r w:rsidR="00723D08" w:rsidRPr="00DE4FC8">
        <w:t>egundo Pará (2014), para receber o ICMS</w:t>
      </w:r>
      <w:r>
        <w:t>-</w:t>
      </w:r>
      <w:r w:rsidR="00723D08" w:rsidRPr="00DE4FC8">
        <w:t>V é requisito que o munícipio possua um Sistema de Gestão Ambiental com no mínimo: Conselho Municipal de Meio Ambiente, de caráter deliberativo e composição socialmente paritária;</w:t>
      </w:r>
      <w:r w:rsidR="000C22FE" w:rsidRPr="00DE4FC8">
        <w:t xml:space="preserve"> </w:t>
      </w:r>
      <w:r w:rsidR="00723D08" w:rsidRPr="00DE4FC8">
        <w:t>Fundo Municipal de Meio Ambiente;</w:t>
      </w:r>
      <w:r w:rsidR="000C22FE" w:rsidRPr="00DE4FC8">
        <w:t xml:space="preserve"> </w:t>
      </w:r>
      <w:r w:rsidR="00723D08" w:rsidRPr="00DE4FC8">
        <w:t>Órgão público administrativo executor da Política Municipal de Meio Ambiente;</w:t>
      </w:r>
      <w:r w:rsidR="000C22FE" w:rsidRPr="00DE4FC8">
        <w:t xml:space="preserve"> </w:t>
      </w:r>
      <w:r w:rsidR="00723D08" w:rsidRPr="00DE4FC8">
        <w:t>Instrumentos de política pública necessárias à plena execução da Política Municipal de Meio Ambiente.</w:t>
      </w:r>
      <w:r w:rsidR="000C22FE" w:rsidRPr="00DE4FC8">
        <w:t xml:space="preserve"> </w:t>
      </w:r>
    </w:p>
    <w:p w:rsidR="0095628B" w:rsidRPr="00DE4FC8" w:rsidRDefault="0095628B" w:rsidP="0078321F">
      <w:pPr>
        <w:autoSpaceDE w:val="0"/>
        <w:autoSpaceDN w:val="0"/>
        <w:adjustRightInd w:val="0"/>
        <w:snapToGrid w:val="0"/>
        <w:jc w:val="both"/>
      </w:pPr>
      <w:r w:rsidRPr="00DE4FC8">
        <w:t>Q</w:t>
      </w:r>
      <w:r w:rsidR="00723D08" w:rsidRPr="00DE4FC8">
        <w:t>uanto à</w:t>
      </w:r>
      <w:r w:rsidRPr="00DE4FC8">
        <w:t>s dimensões da</w:t>
      </w:r>
      <w:r w:rsidR="00723D08" w:rsidRPr="00DE4FC8">
        <w:t xml:space="preserve"> prestação de contas (</w:t>
      </w:r>
      <w:proofErr w:type="spellStart"/>
      <w:r w:rsidR="00723D08" w:rsidRPr="00DE4FC8">
        <w:t>accountability</w:t>
      </w:r>
      <w:proofErr w:type="spellEnd"/>
      <w:r w:rsidR="00723D08" w:rsidRPr="00DE4FC8">
        <w:t xml:space="preserve">); e informação e transparência, </w:t>
      </w:r>
      <w:r w:rsidRPr="00DE4FC8">
        <w:t>observa-se que</w:t>
      </w:r>
      <w:r w:rsidR="00685C5B" w:rsidRPr="00DE4FC8">
        <w:t xml:space="preserve"> o </w:t>
      </w:r>
      <w:r w:rsidR="00F9666D" w:rsidRPr="00DE4FC8">
        <w:t>ICMS</w:t>
      </w:r>
      <w:r w:rsidR="006A2F99">
        <w:t>-</w:t>
      </w:r>
      <w:r w:rsidR="00F9666D" w:rsidRPr="00DE4FC8">
        <w:t>V</w:t>
      </w:r>
      <w:r w:rsidR="0010721F" w:rsidRPr="00DE4FC8">
        <w:t xml:space="preserve"> está contido no ICMS arrecadado pelo estado e transferido aos municípios seguindo uma lógica de devolução. Isso porque municípios mais desenvolvidos economicamente tendem a receber maior repasse, respeitando o maior critério, ou seja, o valor adicionado (3/4 do repasse). </w:t>
      </w:r>
      <w:r w:rsidRPr="00DE4FC8">
        <w:t xml:space="preserve"> </w:t>
      </w:r>
      <w:r w:rsidR="0010721F" w:rsidRPr="00DE4FC8">
        <w:t>Assim</w:t>
      </w:r>
      <w:r w:rsidR="006A2F99">
        <w:t>, a prestação de contas do ICMS-</w:t>
      </w:r>
      <w:r w:rsidR="0010721F" w:rsidRPr="00DE4FC8">
        <w:t>V observa o</w:t>
      </w:r>
      <w:r w:rsidR="00685C5B" w:rsidRPr="00DE4FC8">
        <w:t xml:space="preserve"> </w:t>
      </w:r>
      <w:r w:rsidR="00F9666D" w:rsidRPr="00DE4FC8">
        <w:t xml:space="preserve">mesmo tramite para prestação de contas </w:t>
      </w:r>
      <w:r w:rsidR="0010721F" w:rsidRPr="00DE4FC8">
        <w:t xml:space="preserve">dos demais </w:t>
      </w:r>
      <w:r w:rsidR="00F9666D" w:rsidRPr="00DE4FC8">
        <w:t>recursos repassados pelo Estado junto ao Tri</w:t>
      </w:r>
      <w:r w:rsidR="00685C5B" w:rsidRPr="00DE4FC8">
        <w:t>bunal de Contas do Estado (TCE). Porém, p</w:t>
      </w:r>
      <w:r w:rsidR="003B25BA" w:rsidRPr="00DE4FC8">
        <w:t>ara municípios</w:t>
      </w:r>
      <w:r w:rsidR="003E6FDE">
        <w:t>,</w:t>
      </w:r>
      <w:r w:rsidR="003B25BA" w:rsidRPr="00DE4FC8">
        <w:t xml:space="preserve"> </w:t>
      </w:r>
      <w:r w:rsidR="00685C5B" w:rsidRPr="00DE4FC8">
        <w:t xml:space="preserve">esse </w:t>
      </w:r>
      <w:r w:rsidR="003B25BA" w:rsidRPr="00DE4FC8">
        <w:t xml:space="preserve">recurso é </w:t>
      </w:r>
      <w:r w:rsidR="00685C5B" w:rsidRPr="00DE4FC8">
        <w:t>transferido</w:t>
      </w:r>
      <w:r w:rsidR="003B25BA" w:rsidRPr="00DE4FC8">
        <w:t xml:space="preserve"> diretamente para o Fundo Municipal de Meio Ambiente, a</w:t>
      </w:r>
      <w:r w:rsidR="00E83032" w:rsidRPr="00DE4FC8">
        <w:t xml:space="preserve"> </w:t>
      </w:r>
      <w:r w:rsidR="003B25BA" w:rsidRPr="00DE4FC8">
        <w:t xml:space="preserve">prestação de contas </w:t>
      </w:r>
      <w:r w:rsidR="00E83032" w:rsidRPr="00DE4FC8">
        <w:t>deve observar a</w:t>
      </w:r>
      <w:r w:rsidR="003B25BA" w:rsidRPr="00DE4FC8">
        <w:t xml:space="preserve"> lei municipal que a estabeleceu</w:t>
      </w:r>
      <w:r w:rsidR="00E83032" w:rsidRPr="00DE4FC8">
        <w:t xml:space="preserve"> e o</w:t>
      </w:r>
      <w:r w:rsidR="003B25BA" w:rsidRPr="00DE4FC8">
        <w:t xml:space="preserve"> Conselho Municipal de Meio Ambiente</w:t>
      </w:r>
      <w:r w:rsidR="0010721F" w:rsidRPr="00DE4FC8">
        <w:t xml:space="preserve"> (CMM</w:t>
      </w:r>
      <w:r w:rsidRPr="00DE4FC8">
        <w:t>A</w:t>
      </w:r>
      <w:r w:rsidR="0010721F" w:rsidRPr="00DE4FC8">
        <w:t xml:space="preserve">), </w:t>
      </w:r>
      <w:r w:rsidR="003B25BA" w:rsidRPr="00DE4FC8">
        <w:t>responsável pelas diretrizes de uso dos recursos do fundo.</w:t>
      </w:r>
      <w:r w:rsidR="00951731">
        <w:t xml:space="preserve"> Porém o Fundo Municipal de Meio Ambiente não possui natureza contábil, o que impossibilita a identificação da aplicação </w:t>
      </w:r>
      <w:r w:rsidR="006D04C5">
        <w:t>dos recursos</w:t>
      </w:r>
      <w:r w:rsidR="00951731">
        <w:t xml:space="preserve"> advindo do ICMS-V por meio de relatórios contábeis.</w:t>
      </w:r>
    </w:p>
    <w:p w:rsidR="006D04C5" w:rsidRDefault="006D04C5" w:rsidP="0078321F">
      <w:pPr>
        <w:jc w:val="both"/>
      </w:pPr>
    </w:p>
    <w:p w:rsidR="00FF6743" w:rsidRPr="0078321F" w:rsidRDefault="00914320" w:rsidP="0078321F">
      <w:pPr>
        <w:jc w:val="both"/>
        <w:rPr>
          <w:b/>
        </w:rPr>
      </w:pPr>
      <w:r w:rsidRPr="0078321F">
        <w:rPr>
          <w:b/>
        </w:rPr>
        <w:t>6.1 REFLEXÕES</w:t>
      </w:r>
      <w:r w:rsidR="00CB432B" w:rsidRPr="0078321F">
        <w:rPr>
          <w:b/>
        </w:rPr>
        <w:t xml:space="preserve"> </w:t>
      </w:r>
      <w:r w:rsidR="00E65FFC" w:rsidRPr="0078321F">
        <w:rPr>
          <w:b/>
        </w:rPr>
        <w:t xml:space="preserve">CRÍTICAS </w:t>
      </w:r>
      <w:r w:rsidRPr="0078321F">
        <w:rPr>
          <w:b/>
        </w:rPr>
        <w:t>SOB</w:t>
      </w:r>
      <w:r>
        <w:rPr>
          <w:b/>
        </w:rPr>
        <w:t>RE</w:t>
      </w:r>
      <w:r w:rsidRPr="0078321F">
        <w:rPr>
          <w:b/>
        </w:rPr>
        <w:t xml:space="preserve"> ICMS</w:t>
      </w:r>
      <w:r w:rsidR="00E83FF5" w:rsidRPr="0078321F">
        <w:rPr>
          <w:b/>
        </w:rPr>
        <w:t xml:space="preserve"> VERDE NO PARÁ</w:t>
      </w:r>
    </w:p>
    <w:p w:rsidR="006D04C5" w:rsidRDefault="006D04C5" w:rsidP="0078321F">
      <w:pPr>
        <w:jc w:val="both"/>
      </w:pPr>
    </w:p>
    <w:p w:rsidR="007C7BD7" w:rsidRPr="00DE4FC8" w:rsidRDefault="008C262A" w:rsidP="0078321F">
      <w:pPr>
        <w:jc w:val="both"/>
      </w:pPr>
      <w:r>
        <w:t>Embora o ICMS-</w:t>
      </w:r>
      <w:r w:rsidR="007C7BD7" w:rsidRPr="00DE4FC8">
        <w:t xml:space="preserve">V esteja no início do processo de implantação, esta pesquisa parte de inquietações a partir da aprovação da Lei e regulamentações posteriores. Assim, o que se visa é fazer reflexões críticas, que culminarão em uma problematização capaz de subsidiar futuras pesquisas quando implantação desse instrumento estiver consolidada. </w:t>
      </w:r>
    </w:p>
    <w:p w:rsidR="00740930" w:rsidRPr="00DE4FC8" w:rsidRDefault="00FC71DE" w:rsidP="0078321F">
      <w:pPr>
        <w:jc w:val="both"/>
      </w:pPr>
      <w:r w:rsidRPr="00DE4FC8">
        <w:t>O critério ambiental</w:t>
      </w:r>
      <w:r w:rsidR="00740930" w:rsidRPr="00DE4FC8">
        <w:t xml:space="preserve"> equivalerá a 8% do ICMS quando consolidado a partir da seguinte configuração: 50% proporcionais a área de CAR, 25% referente </w:t>
      </w:r>
      <w:r w:rsidR="003E6FDE" w:rsidRPr="00DE4FC8">
        <w:t>à</w:t>
      </w:r>
      <w:r w:rsidR="00740930" w:rsidRPr="00DE4FC8">
        <w:t xml:space="preserve"> cobertura do território por AP</w:t>
      </w:r>
      <w:r w:rsidR="003E6FDE">
        <w:t xml:space="preserve"> </w:t>
      </w:r>
      <w:r w:rsidR="00740930" w:rsidRPr="00DE4FC8">
        <w:t>(</w:t>
      </w:r>
      <w:proofErr w:type="spellStart"/>
      <w:r w:rsidR="00740930" w:rsidRPr="00DE4FC8">
        <w:t>UCs</w:t>
      </w:r>
      <w:proofErr w:type="spellEnd"/>
      <w:r w:rsidR="00740930" w:rsidRPr="00DE4FC8">
        <w:t xml:space="preserve"> e </w:t>
      </w:r>
      <w:proofErr w:type="spellStart"/>
      <w:r w:rsidR="00740930" w:rsidRPr="00DE4FC8">
        <w:t>TIs</w:t>
      </w:r>
      <w:proofErr w:type="spellEnd"/>
      <w:r w:rsidR="00740930" w:rsidRPr="00DE4FC8">
        <w:t>) e áreas especiais, além de territórios quilombolas</w:t>
      </w:r>
      <w:r w:rsidR="00C42EEB" w:rsidRPr="00DE4FC8">
        <w:t xml:space="preserve"> e </w:t>
      </w:r>
      <w:r w:rsidR="00740930" w:rsidRPr="00DE4FC8">
        <w:t>25% em relação a performance na redução do desmatamento</w:t>
      </w:r>
      <w:r w:rsidR="00C42EEB" w:rsidRPr="00DE4FC8">
        <w:t xml:space="preserve"> (PARÁ, 2014)</w:t>
      </w:r>
      <w:r w:rsidR="00740930" w:rsidRPr="00DE4FC8">
        <w:t>.</w:t>
      </w:r>
    </w:p>
    <w:p w:rsidR="00FF6743" w:rsidRPr="00DE4FC8" w:rsidRDefault="009F3399" w:rsidP="0078321F">
      <w:pPr>
        <w:jc w:val="both"/>
      </w:pPr>
      <w:r w:rsidRPr="00DE4FC8">
        <w:lastRenderedPageBreak/>
        <w:t xml:space="preserve"> Em relação aos </w:t>
      </w:r>
      <w:r w:rsidR="00FC71DE" w:rsidRPr="00DE4FC8">
        <w:t xml:space="preserve">25% </w:t>
      </w:r>
      <w:r w:rsidRPr="00DE4FC8">
        <w:t xml:space="preserve">do ICMS V relativo </w:t>
      </w:r>
      <w:r w:rsidR="00FC71DE" w:rsidRPr="00DE4FC8">
        <w:t>à cobertura do território do município por Áreas Protegidas (</w:t>
      </w:r>
      <w:proofErr w:type="spellStart"/>
      <w:r w:rsidR="00FC71DE" w:rsidRPr="00DE4FC8">
        <w:t>UCs</w:t>
      </w:r>
      <w:proofErr w:type="spellEnd"/>
      <w:r w:rsidR="00FC71DE" w:rsidRPr="00DE4FC8">
        <w:t xml:space="preserve"> e </w:t>
      </w:r>
      <w:proofErr w:type="spellStart"/>
      <w:r w:rsidR="00FC71DE" w:rsidRPr="00DE4FC8">
        <w:t>TIs</w:t>
      </w:r>
      <w:proofErr w:type="spellEnd"/>
      <w:r w:rsidR="00FC71DE" w:rsidRPr="00DE4FC8">
        <w:t>) e áreas especiais, além de territórios quilombolas</w:t>
      </w:r>
      <w:r w:rsidRPr="00DE4FC8">
        <w:t>,</w:t>
      </w:r>
      <w:r w:rsidR="00FC71DE" w:rsidRPr="00DE4FC8">
        <w:t xml:space="preserve"> </w:t>
      </w:r>
      <w:r w:rsidRPr="00DE4FC8">
        <w:t>s</w:t>
      </w:r>
      <w:r w:rsidR="00FF6743" w:rsidRPr="00DE4FC8">
        <w:t xml:space="preserve">egundo </w:t>
      </w:r>
      <w:proofErr w:type="spellStart"/>
      <w:r w:rsidR="00FF6743" w:rsidRPr="00DE4FC8">
        <w:t>Idesp</w:t>
      </w:r>
      <w:proofErr w:type="spellEnd"/>
      <w:r w:rsidR="00FF6743" w:rsidRPr="00DE4FC8">
        <w:t xml:space="preserve"> (2013), atualmente 52 dos 144 municípios paraenses possuem áreas protegidas (Figura 1). </w:t>
      </w:r>
      <w:r w:rsidRPr="00DE4FC8">
        <w:t>Nesse caso, levanta-se a questão tratada anteriormen</w:t>
      </w:r>
      <w:r w:rsidR="006D04C5">
        <w:t xml:space="preserve">te: Efetivamente o ICMS V é uma </w:t>
      </w:r>
      <w:r w:rsidRPr="00DE4FC8">
        <w:t xml:space="preserve">compensação ambiental que contempla todos esses municípios homogeneamente? Isso </w:t>
      </w:r>
      <w:r w:rsidR="003E6FDE" w:rsidRPr="00DE4FC8">
        <w:t>por qu</w:t>
      </w:r>
      <w:r w:rsidR="003E6FDE">
        <w:t>e,</w:t>
      </w:r>
      <w:r w:rsidRPr="00DE4FC8">
        <w:t xml:space="preserve"> </w:t>
      </w:r>
      <w:r w:rsidR="00FC71DE" w:rsidRPr="00DE4FC8">
        <w:t xml:space="preserve">na medida em que os municípios forem instituindo novas áreas protegidas, o incentivo do ICMS Verde </w:t>
      </w:r>
      <w:r w:rsidRPr="00DE4FC8">
        <w:t>perde seu impacto positivo</w:t>
      </w:r>
      <w:r w:rsidR="00FC71DE" w:rsidRPr="00DE4FC8">
        <w:t>.</w:t>
      </w:r>
    </w:p>
    <w:p w:rsidR="0078321F" w:rsidRDefault="0078321F" w:rsidP="005E7163">
      <w:pPr>
        <w:autoSpaceDE w:val="0"/>
        <w:autoSpaceDN w:val="0"/>
        <w:adjustRightInd w:val="0"/>
        <w:jc w:val="both"/>
        <w:rPr>
          <w:noProof/>
        </w:rPr>
      </w:pPr>
    </w:p>
    <w:p w:rsidR="00FC71DE" w:rsidRPr="00DE4FC8" w:rsidRDefault="00C9268F" w:rsidP="005E7163">
      <w:pPr>
        <w:autoSpaceDE w:val="0"/>
        <w:autoSpaceDN w:val="0"/>
        <w:adjustRightInd w:val="0"/>
        <w:jc w:val="both"/>
        <w:rPr>
          <w:rFonts w:ascii="TimesNewRomanPSMT" w:hAnsi="TimesNewRomanPSMT" w:cs="TimesNewRomanPSMT"/>
          <w:sz w:val="26"/>
          <w:szCs w:val="26"/>
        </w:rPr>
      </w:pPr>
      <w:r w:rsidRPr="00DE4FC8">
        <w:rPr>
          <w:noProof/>
        </w:rPr>
        <w:drawing>
          <wp:inline distT="0" distB="0" distL="0" distR="0" wp14:anchorId="0C9D3CD3" wp14:editId="073320FB">
            <wp:extent cx="5189220" cy="346456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8">
                      <a:extLst>
                        <a:ext uri="{28A0092B-C50C-407E-A947-70E740481C1C}">
                          <a14:useLocalDpi xmlns:a14="http://schemas.microsoft.com/office/drawing/2010/main" val="0"/>
                        </a:ext>
                      </a:extLst>
                    </a:blip>
                    <a:srcRect l="11626" t="11487" r="23380" b="11490"/>
                    <a:stretch>
                      <a:fillRect/>
                    </a:stretch>
                  </pic:blipFill>
                  <pic:spPr bwMode="auto">
                    <a:xfrm>
                      <a:off x="0" y="0"/>
                      <a:ext cx="5189220" cy="3464560"/>
                    </a:xfrm>
                    <a:prstGeom prst="rect">
                      <a:avLst/>
                    </a:prstGeom>
                    <a:noFill/>
                    <a:ln>
                      <a:noFill/>
                    </a:ln>
                  </pic:spPr>
                </pic:pic>
              </a:graphicData>
            </a:graphic>
          </wp:inline>
        </w:drawing>
      </w:r>
    </w:p>
    <w:p w:rsidR="00FF6743" w:rsidRPr="00DE4FC8" w:rsidRDefault="00D47FA6" w:rsidP="005E7163">
      <w:pPr>
        <w:jc w:val="both"/>
      </w:pPr>
      <w:r w:rsidRPr="00DE4FC8">
        <w:t xml:space="preserve">        </w:t>
      </w:r>
      <w:r w:rsidR="00FC71DE" w:rsidRPr="00DE4FC8">
        <w:t>Figura 1 – Áreas Protegidas dos Municípios do Estado do Pará</w:t>
      </w:r>
    </w:p>
    <w:p w:rsidR="00FC71DE" w:rsidRPr="00DE4FC8" w:rsidRDefault="00D47FA6" w:rsidP="005E7163">
      <w:pPr>
        <w:jc w:val="both"/>
      </w:pPr>
      <w:r w:rsidRPr="00DE4FC8">
        <w:t xml:space="preserve">        </w:t>
      </w:r>
      <w:r w:rsidR="00FC71DE" w:rsidRPr="00DE4FC8">
        <w:t>Fonte: IDESP (2013)</w:t>
      </w:r>
    </w:p>
    <w:p w:rsidR="00FF6743" w:rsidRPr="00DE4FC8" w:rsidRDefault="00FF6743" w:rsidP="005E7163">
      <w:pPr>
        <w:spacing w:line="360" w:lineRule="auto"/>
        <w:jc w:val="both"/>
        <w:rPr>
          <w:b/>
        </w:rPr>
      </w:pPr>
    </w:p>
    <w:p w:rsidR="00B26254" w:rsidRDefault="009F3399" w:rsidP="0078321F">
      <w:pPr>
        <w:jc w:val="both"/>
      </w:pPr>
      <w:r w:rsidRPr="00DE4FC8">
        <w:t>O repasse</w:t>
      </w:r>
      <w:r w:rsidR="008C262A">
        <w:t xml:space="preserve"> de ICMS-</w:t>
      </w:r>
      <w:r w:rsidRPr="00DE4FC8">
        <w:t xml:space="preserve">V se diluiu e contemplou </w:t>
      </w:r>
      <w:r w:rsidR="003E6FDE">
        <w:t xml:space="preserve">a </w:t>
      </w:r>
      <w:r w:rsidR="003E6FDE" w:rsidRPr="00DE4FC8">
        <w:t>todos os</w:t>
      </w:r>
      <w:r w:rsidR="00B26254" w:rsidRPr="00DE4FC8">
        <w:t xml:space="preserve"> municípios paraenses </w:t>
      </w:r>
      <w:r w:rsidRPr="00DE4FC8">
        <w:t>no p</w:t>
      </w:r>
      <w:r w:rsidR="00B26254" w:rsidRPr="00DE4FC8">
        <w:t>rimeiro semestre de 2014. P</w:t>
      </w:r>
      <w:r w:rsidR="003C55C2" w:rsidRPr="00DE4FC8">
        <w:t>oré</w:t>
      </w:r>
      <w:r w:rsidR="00B26254" w:rsidRPr="00DE4FC8">
        <w:t>m, observa-se a partir da Tabela 1</w:t>
      </w:r>
      <w:r w:rsidR="003C55C2" w:rsidRPr="00DE4FC8">
        <w:t>,</w:t>
      </w:r>
      <w:r w:rsidR="00B26254" w:rsidRPr="00DE4FC8">
        <w:t xml:space="preserve"> que o ICMS Verde não foi capaz </w:t>
      </w:r>
      <w:r w:rsidRPr="00DE4FC8">
        <w:t>causar uma reconfiguração da distribuição do ICMS e nem causou justiça fiscal, proporciona</w:t>
      </w:r>
      <w:r w:rsidR="00C60406" w:rsidRPr="00DE4FC8">
        <w:t>n</w:t>
      </w:r>
      <w:r w:rsidRPr="00DE4FC8">
        <w:t>do</w:t>
      </w:r>
      <w:r w:rsidR="00B26254" w:rsidRPr="00DE4FC8">
        <w:t xml:space="preserve"> ganhos para todos os municípios que possuem AP em seus territórios. Isso por</w:t>
      </w:r>
      <w:r w:rsidR="003E6FDE">
        <w:t xml:space="preserve"> </w:t>
      </w:r>
      <w:r w:rsidR="00B26254" w:rsidRPr="00DE4FC8">
        <w:t>que, apesar dos municípios terem sidos contemplados com o repasse de ICMS Verde, houve redução da cota-parte de ICMS entre 2013 e 2014</w:t>
      </w:r>
      <w:r w:rsidRPr="00DE4FC8">
        <w:t xml:space="preserve"> (Tabela 1)</w:t>
      </w:r>
      <w:r w:rsidR="00B26254" w:rsidRPr="00DE4FC8">
        <w:t xml:space="preserve">. </w:t>
      </w:r>
      <w:r w:rsidR="00E17C1D" w:rsidRPr="00DE4FC8">
        <w:t xml:space="preserve">Destaca-se que 25% do critério ambiental está </w:t>
      </w:r>
      <w:r w:rsidR="003C55C2" w:rsidRPr="00DE4FC8">
        <w:t xml:space="preserve">relacionado </w:t>
      </w:r>
      <w:r w:rsidR="00E17C1D" w:rsidRPr="00DE4FC8">
        <w:t>à performance do município na redução do desmatamento.</w:t>
      </w:r>
    </w:p>
    <w:p w:rsidR="008C262A" w:rsidRPr="00DE4FC8" w:rsidRDefault="008C262A" w:rsidP="005E7163">
      <w:pPr>
        <w:spacing w:line="360" w:lineRule="auto"/>
        <w:ind w:firstLine="851"/>
        <w:jc w:val="both"/>
      </w:pPr>
    </w:p>
    <w:p w:rsidR="00FA0286" w:rsidRPr="00DE4FC8" w:rsidRDefault="00B26254" w:rsidP="005E7163">
      <w:pPr>
        <w:jc w:val="both"/>
      </w:pPr>
      <w:r w:rsidRPr="00DE4FC8">
        <w:t>Tabela 1- Desenho do ICMS em municípios paraenses com Áreas Protegidas no primeiro semestre de 2014.</w:t>
      </w:r>
    </w:p>
    <w:tbl>
      <w:tblPr>
        <w:tblW w:w="0" w:type="auto"/>
        <w:tblLayout w:type="fixed"/>
        <w:tblLook w:val="04A0" w:firstRow="1" w:lastRow="0" w:firstColumn="1" w:lastColumn="0" w:noHBand="0" w:noVBand="1"/>
      </w:tblPr>
      <w:tblGrid>
        <w:gridCol w:w="1023"/>
        <w:gridCol w:w="1023"/>
        <w:gridCol w:w="1039"/>
        <w:gridCol w:w="992"/>
        <w:gridCol w:w="668"/>
        <w:gridCol w:w="892"/>
        <w:gridCol w:w="992"/>
        <w:gridCol w:w="1276"/>
        <w:gridCol w:w="1339"/>
      </w:tblGrid>
      <w:tr w:rsidR="007D4EF0" w:rsidRPr="00DE4FC8" w:rsidTr="009D4D5E">
        <w:tc>
          <w:tcPr>
            <w:tcW w:w="1023" w:type="dxa"/>
            <w:tcBorders>
              <w:top w:val="single" w:sz="4" w:space="0" w:color="auto"/>
              <w:bottom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Região de Integração</w:t>
            </w:r>
          </w:p>
        </w:tc>
        <w:tc>
          <w:tcPr>
            <w:tcW w:w="1023" w:type="dxa"/>
            <w:tcBorders>
              <w:top w:val="single" w:sz="4" w:space="0" w:color="auto"/>
              <w:bottom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Município</w:t>
            </w:r>
          </w:p>
        </w:tc>
        <w:tc>
          <w:tcPr>
            <w:tcW w:w="1039" w:type="dxa"/>
            <w:tcBorders>
              <w:top w:val="single" w:sz="4" w:space="0" w:color="auto"/>
              <w:bottom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Cota-Parte ICMS 2014</w:t>
            </w:r>
          </w:p>
          <w:p w:rsidR="007D4EF0" w:rsidRPr="00DE4FC8" w:rsidRDefault="007D4EF0" w:rsidP="005E7163">
            <w:pPr>
              <w:spacing w:line="360" w:lineRule="auto"/>
              <w:jc w:val="both"/>
              <w:rPr>
                <w:sz w:val="16"/>
                <w:szCs w:val="16"/>
              </w:rPr>
            </w:pPr>
            <w:r w:rsidRPr="00DE4FC8">
              <w:rPr>
                <w:sz w:val="16"/>
                <w:szCs w:val="16"/>
              </w:rPr>
              <w:t>(%)</w:t>
            </w:r>
          </w:p>
        </w:tc>
        <w:tc>
          <w:tcPr>
            <w:tcW w:w="992" w:type="dxa"/>
            <w:tcBorders>
              <w:top w:val="single" w:sz="4" w:space="0" w:color="auto"/>
              <w:bottom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Cota-Parte ICMS 2014</w:t>
            </w:r>
            <w:r w:rsidR="007D4EF0" w:rsidRPr="00DE4FC8">
              <w:rPr>
                <w:sz w:val="16"/>
                <w:szCs w:val="16"/>
              </w:rPr>
              <w:t xml:space="preserve"> (%)</w:t>
            </w:r>
          </w:p>
        </w:tc>
        <w:tc>
          <w:tcPr>
            <w:tcW w:w="668" w:type="dxa"/>
            <w:tcBorders>
              <w:top w:val="single" w:sz="4" w:space="0" w:color="auto"/>
              <w:bottom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 xml:space="preserve">Diferença </w:t>
            </w:r>
          </w:p>
        </w:tc>
        <w:tc>
          <w:tcPr>
            <w:tcW w:w="892" w:type="dxa"/>
            <w:tcBorders>
              <w:top w:val="single" w:sz="4" w:space="0" w:color="auto"/>
              <w:bottom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Áreas Protegidas (km2)</w:t>
            </w:r>
          </w:p>
        </w:tc>
        <w:tc>
          <w:tcPr>
            <w:tcW w:w="992" w:type="dxa"/>
            <w:tcBorders>
              <w:top w:val="single" w:sz="4" w:space="0" w:color="auto"/>
              <w:bottom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ICMS Verde</w:t>
            </w:r>
            <w:r w:rsidR="007D4EF0" w:rsidRPr="00DE4FC8">
              <w:rPr>
                <w:sz w:val="16"/>
                <w:szCs w:val="16"/>
              </w:rPr>
              <w:t xml:space="preserve"> (R$)</w:t>
            </w:r>
            <w:r w:rsidRPr="00DE4FC8">
              <w:rPr>
                <w:sz w:val="16"/>
                <w:szCs w:val="16"/>
              </w:rPr>
              <w:t xml:space="preserve"> 2014.1</w:t>
            </w:r>
          </w:p>
        </w:tc>
        <w:tc>
          <w:tcPr>
            <w:tcW w:w="1276" w:type="dxa"/>
            <w:tcBorders>
              <w:top w:val="single" w:sz="4" w:space="0" w:color="auto"/>
              <w:bottom w:val="single" w:sz="4" w:space="0" w:color="auto"/>
            </w:tcBorders>
            <w:shd w:val="clear" w:color="auto" w:fill="auto"/>
          </w:tcPr>
          <w:p w:rsidR="00FA0286" w:rsidRPr="00DE4FC8" w:rsidRDefault="007D4EF0" w:rsidP="005E7163">
            <w:pPr>
              <w:spacing w:line="360" w:lineRule="auto"/>
              <w:jc w:val="both"/>
              <w:rPr>
                <w:sz w:val="16"/>
                <w:szCs w:val="16"/>
              </w:rPr>
            </w:pPr>
            <w:r w:rsidRPr="00DE4FC8">
              <w:rPr>
                <w:sz w:val="16"/>
                <w:szCs w:val="16"/>
              </w:rPr>
              <w:t>ICMS (R$)</w:t>
            </w:r>
          </w:p>
        </w:tc>
        <w:tc>
          <w:tcPr>
            <w:tcW w:w="1339" w:type="dxa"/>
            <w:tcBorders>
              <w:top w:val="single" w:sz="4" w:space="0" w:color="auto"/>
              <w:bottom w:val="single" w:sz="4" w:space="0" w:color="auto"/>
            </w:tcBorders>
            <w:shd w:val="clear" w:color="auto" w:fill="auto"/>
          </w:tcPr>
          <w:p w:rsidR="00FA0286" w:rsidRPr="00DE4FC8" w:rsidRDefault="007D4EF0" w:rsidP="005E7163">
            <w:pPr>
              <w:spacing w:line="360" w:lineRule="auto"/>
              <w:jc w:val="both"/>
              <w:rPr>
                <w:sz w:val="16"/>
                <w:szCs w:val="16"/>
              </w:rPr>
            </w:pPr>
            <w:r w:rsidRPr="00DE4FC8">
              <w:rPr>
                <w:sz w:val="16"/>
                <w:szCs w:val="16"/>
              </w:rPr>
              <w:t>(%) do ICMS Verde em relação ao ICMS</w:t>
            </w:r>
          </w:p>
        </w:tc>
      </w:tr>
      <w:tr w:rsidR="007D4EF0" w:rsidRPr="00DE4FC8" w:rsidTr="009D4D5E">
        <w:tc>
          <w:tcPr>
            <w:tcW w:w="1023" w:type="dxa"/>
            <w:tcBorders>
              <w:top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Baixo Amazonas</w:t>
            </w:r>
          </w:p>
        </w:tc>
        <w:tc>
          <w:tcPr>
            <w:tcW w:w="1023" w:type="dxa"/>
            <w:tcBorders>
              <w:top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Almeirim</w:t>
            </w:r>
          </w:p>
        </w:tc>
        <w:tc>
          <w:tcPr>
            <w:tcW w:w="1039" w:type="dxa"/>
            <w:tcBorders>
              <w:top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0,88</w:t>
            </w:r>
          </w:p>
        </w:tc>
        <w:tc>
          <w:tcPr>
            <w:tcW w:w="992" w:type="dxa"/>
            <w:tcBorders>
              <w:top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0,83</w:t>
            </w:r>
          </w:p>
        </w:tc>
        <w:tc>
          <w:tcPr>
            <w:tcW w:w="668" w:type="dxa"/>
            <w:tcBorders>
              <w:top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-0,05</w:t>
            </w:r>
          </w:p>
        </w:tc>
        <w:tc>
          <w:tcPr>
            <w:tcW w:w="892" w:type="dxa"/>
            <w:tcBorders>
              <w:top w:val="single" w:sz="4" w:space="0" w:color="auto"/>
            </w:tcBorders>
            <w:shd w:val="clear" w:color="auto" w:fill="auto"/>
          </w:tcPr>
          <w:p w:rsidR="00FA0286" w:rsidRPr="00DE4FC8" w:rsidRDefault="00FA0286" w:rsidP="005E7163">
            <w:pPr>
              <w:spacing w:line="360" w:lineRule="auto"/>
              <w:jc w:val="both"/>
              <w:rPr>
                <w:sz w:val="16"/>
                <w:szCs w:val="16"/>
              </w:rPr>
            </w:pPr>
            <w:r w:rsidRPr="00DE4FC8">
              <w:rPr>
                <w:sz w:val="16"/>
                <w:szCs w:val="16"/>
              </w:rPr>
              <w:t>57.469,48</w:t>
            </w:r>
          </w:p>
        </w:tc>
        <w:tc>
          <w:tcPr>
            <w:tcW w:w="992" w:type="dxa"/>
            <w:tcBorders>
              <w:top w:val="single" w:sz="4" w:space="0" w:color="auto"/>
            </w:tcBorders>
            <w:shd w:val="clear" w:color="auto" w:fill="auto"/>
          </w:tcPr>
          <w:p w:rsidR="00FA0286" w:rsidRPr="00DE4FC8" w:rsidRDefault="007D4EF0" w:rsidP="005E7163">
            <w:pPr>
              <w:spacing w:line="360" w:lineRule="auto"/>
              <w:jc w:val="both"/>
              <w:rPr>
                <w:sz w:val="16"/>
                <w:szCs w:val="16"/>
              </w:rPr>
            </w:pPr>
            <w:r w:rsidRPr="00DE4FC8">
              <w:rPr>
                <w:sz w:val="16"/>
                <w:szCs w:val="16"/>
              </w:rPr>
              <w:t>375.491,78</w:t>
            </w:r>
          </w:p>
        </w:tc>
        <w:tc>
          <w:tcPr>
            <w:tcW w:w="1276" w:type="dxa"/>
            <w:tcBorders>
              <w:top w:val="single" w:sz="4" w:space="0" w:color="auto"/>
            </w:tcBorders>
            <w:shd w:val="clear" w:color="auto" w:fill="auto"/>
          </w:tcPr>
          <w:p w:rsidR="00FA0286" w:rsidRPr="00DE4FC8" w:rsidRDefault="007D4EF0" w:rsidP="005E7163">
            <w:pPr>
              <w:spacing w:line="360" w:lineRule="auto"/>
              <w:jc w:val="both"/>
              <w:rPr>
                <w:sz w:val="16"/>
                <w:szCs w:val="16"/>
              </w:rPr>
            </w:pPr>
            <w:r w:rsidRPr="00DE4FC8">
              <w:rPr>
                <w:sz w:val="16"/>
                <w:szCs w:val="16"/>
              </w:rPr>
              <w:t>6.887.248,22</w:t>
            </w:r>
          </w:p>
        </w:tc>
        <w:tc>
          <w:tcPr>
            <w:tcW w:w="1339" w:type="dxa"/>
            <w:tcBorders>
              <w:top w:val="single" w:sz="4" w:space="0" w:color="auto"/>
            </w:tcBorders>
            <w:shd w:val="clear" w:color="auto" w:fill="auto"/>
          </w:tcPr>
          <w:p w:rsidR="00FA0286" w:rsidRPr="00DE4FC8" w:rsidRDefault="007D4EF0" w:rsidP="005E7163">
            <w:pPr>
              <w:spacing w:line="360" w:lineRule="auto"/>
              <w:jc w:val="both"/>
              <w:rPr>
                <w:sz w:val="16"/>
                <w:szCs w:val="16"/>
              </w:rPr>
            </w:pPr>
            <w:r w:rsidRPr="00DE4FC8">
              <w:rPr>
                <w:sz w:val="16"/>
                <w:szCs w:val="16"/>
              </w:rPr>
              <w:t xml:space="preserve">5,45 </w:t>
            </w:r>
          </w:p>
        </w:tc>
      </w:tr>
      <w:tr w:rsidR="007D4EF0" w:rsidRPr="00DE4FC8" w:rsidTr="009D4D5E">
        <w:tc>
          <w:tcPr>
            <w:tcW w:w="1023" w:type="dxa"/>
            <w:shd w:val="clear" w:color="auto" w:fill="auto"/>
          </w:tcPr>
          <w:p w:rsidR="00FA0286" w:rsidRPr="00DE4FC8" w:rsidRDefault="007D4EF0" w:rsidP="005E7163">
            <w:pPr>
              <w:spacing w:line="360" w:lineRule="auto"/>
              <w:jc w:val="both"/>
              <w:rPr>
                <w:sz w:val="16"/>
                <w:szCs w:val="16"/>
              </w:rPr>
            </w:pPr>
            <w:r w:rsidRPr="00DE4FC8">
              <w:rPr>
                <w:sz w:val="16"/>
                <w:szCs w:val="16"/>
              </w:rPr>
              <w:t>Baixo Amazonas</w:t>
            </w:r>
          </w:p>
        </w:tc>
        <w:tc>
          <w:tcPr>
            <w:tcW w:w="1023" w:type="dxa"/>
            <w:shd w:val="clear" w:color="auto" w:fill="auto"/>
          </w:tcPr>
          <w:p w:rsidR="00FA0286" w:rsidRPr="00DE4FC8" w:rsidRDefault="007D4EF0" w:rsidP="005E7163">
            <w:pPr>
              <w:spacing w:line="360" w:lineRule="auto"/>
              <w:jc w:val="both"/>
              <w:rPr>
                <w:sz w:val="16"/>
                <w:szCs w:val="16"/>
              </w:rPr>
            </w:pPr>
            <w:r w:rsidRPr="00DE4FC8">
              <w:rPr>
                <w:sz w:val="16"/>
                <w:szCs w:val="16"/>
              </w:rPr>
              <w:t>Santarém</w:t>
            </w:r>
          </w:p>
        </w:tc>
        <w:tc>
          <w:tcPr>
            <w:tcW w:w="1039" w:type="dxa"/>
            <w:shd w:val="clear" w:color="auto" w:fill="auto"/>
          </w:tcPr>
          <w:p w:rsidR="00FA0286" w:rsidRPr="00DE4FC8" w:rsidRDefault="007D4EF0" w:rsidP="005E7163">
            <w:pPr>
              <w:spacing w:line="360" w:lineRule="auto"/>
              <w:jc w:val="both"/>
              <w:rPr>
                <w:sz w:val="16"/>
                <w:szCs w:val="16"/>
              </w:rPr>
            </w:pPr>
            <w:r w:rsidRPr="00DE4FC8">
              <w:rPr>
                <w:sz w:val="16"/>
                <w:szCs w:val="16"/>
              </w:rPr>
              <w:t>1,97</w:t>
            </w:r>
          </w:p>
        </w:tc>
        <w:tc>
          <w:tcPr>
            <w:tcW w:w="992" w:type="dxa"/>
            <w:shd w:val="clear" w:color="auto" w:fill="auto"/>
          </w:tcPr>
          <w:p w:rsidR="00FA0286" w:rsidRPr="00DE4FC8" w:rsidRDefault="007D4EF0" w:rsidP="005E7163">
            <w:pPr>
              <w:spacing w:line="360" w:lineRule="auto"/>
              <w:jc w:val="both"/>
              <w:rPr>
                <w:sz w:val="16"/>
                <w:szCs w:val="16"/>
              </w:rPr>
            </w:pPr>
            <w:r w:rsidRPr="00DE4FC8">
              <w:rPr>
                <w:sz w:val="16"/>
                <w:szCs w:val="16"/>
              </w:rPr>
              <w:t>1,94</w:t>
            </w:r>
          </w:p>
        </w:tc>
        <w:tc>
          <w:tcPr>
            <w:tcW w:w="668" w:type="dxa"/>
            <w:shd w:val="clear" w:color="auto" w:fill="auto"/>
          </w:tcPr>
          <w:p w:rsidR="00FA0286" w:rsidRPr="00DE4FC8" w:rsidRDefault="007B7138" w:rsidP="005E7163">
            <w:pPr>
              <w:spacing w:line="360" w:lineRule="auto"/>
              <w:jc w:val="both"/>
              <w:rPr>
                <w:sz w:val="16"/>
                <w:szCs w:val="16"/>
              </w:rPr>
            </w:pPr>
            <w:r w:rsidRPr="00DE4FC8">
              <w:rPr>
                <w:sz w:val="16"/>
                <w:szCs w:val="16"/>
              </w:rPr>
              <w:t>-</w:t>
            </w:r>
            <w:r w:rsidR="007D4EF0" w:rsidRPr="00DE4FC8">
              <w:rPr>
                <w:sz w:val="16"/>
                <w:szCs w:val="16"/>
              </w:rPr>
              <w:t>0,03</w:t>
            </w:r>
          </w:p>
        </w:tc>
        <w:tc>
          <w:tcPr>
            <w:tcW w:w="892" w:type="dxa"/>
            <w:shd w:val="clear" w:color="auto" w:fill="auto"/>
          </w:tcPr>
          <w:p w:rsidR="00FA0286" w:rsidRPr="00DE4FC8" w:rsidRDefault="007D4EF0" w:rsidP="005E7163">
            <w:pPr>
              <w:spacing w:line="360" w:lineRule="auto"/>
              <w:jc w:val="both"/>
              <w:rPr>
                <w:sz w:val="16"/>
                <w:szCs w:val="16"/>
              </w:rPr>
            </w:pPr>
            <w:r w:rsidRPr="00DE4FC8">
              <w:rPr>
                <w:sz w:val="16"/>
                <w:szCs w:val="16"/>
              </w:rPr>
              <w:t>8.342,12</w:t>
            </w:r>
          </w:p>
        </w:tc>
        <w:tc>
          <w:tcPr>
            <w:tcW w:w="992" w:type="dxa"/>
            <w:shd w:val="clear" w:color="auto" w:fill="auto"/>
          </w:tcPr>
          <w:p w:rsidR="00FA0286" w:rsidRPr="00DE4FC8" w:rsidRDefault="007D4EF0" w:rsidP="005E7163">
            <w:pPr>
              <w:spacing w:line="360" w:lineRule="auto"/>
              <w:jc w:val="both"/>
              <w:rPr>
                <w:sz w:val="16"/>
                <w:szCs w:val="16"/>
              </w:rPr>
            </w:pPr>
            <w:r w:rsidRPr="00DE4FC8">
              <w:rPr>
                <w:sz w:val="16"/>
                <w:szCs w:val="16"/>
              </w:rPr>
              <w:t>215.931,64</w:t>
            </w:r>
          </w:p>
        </w:tc>
        <w:tc>
          <w:tcPr>
            <w:tcW w:w="1276" w:type="dxa"/>
            <w:shd w:val="clear" w:color="auto" w:fill="auto"/>
          </w:tcPr>
          <w:p w:rsidR="00FA0286" w:rsidRPr="00DE4FC8" w:rsidRDefault="007D4EF0" w:rsidP="005E7163">
            <w:pPr>
              <w:spacing w:line="360" w:lineRule="auto"/>
              <w:jc w:val="both"/>
              <w:rPr>
                <w:sz w:val="16"/>
                <w:szCs w:val="16"/>
              </w:rPr>
            </w:pPr>
            <w:r w:rsidRPr="00DE4FC8">
              <w:rPr>
                <w:sz w:val="16"/>
                <w:szCs w:val="16"/>
              </w:rPr>
              <w:t>16.097.905,47</w:t>
            </w:r>
          </w:p>
        </w:tc>
        <w:tc>
          <w:tcPr>
            <w:tcW w:w="1339" w:type="dxa"/>
            <w:shd w:val="clear" w:color="auto" w:fill="auto"/>
          </w:tcPr>
          <w:p w:rsidR="00FA0286" w:rsidRPr="00DE4FC8" w:rsidRDefault="007D4EF0" w:rsidP="005E7163">
            <w:pPr>
              <w:spacing w:line="360" w:lineRule="auto"/>
              <w:jc w:val="both"/>
              <w:rPr>
                <w:sz w:val="16"/>
                <w:szCs w:val="16"/>
              </w:rPr>
            </w:pPr>
            <w:r w:rsidRPr="00DE4FC8">
              <w:rPr>
                <w:sz w:val="16"/>
                <w:szCs w:val="16"/>
              </w:rPr>
              <w:t>1,34</w:t>
            </w:r>
          </w:p>
        </w:tc>
      </w:tr>
      <w:tr w:rsidR="007D4EF0" w:rsidRPr="00DE4FC8" w:rsidTr="009D4D5E">
        <w:tc>
          <w:tcPr>
            <w:tcW w:w="1023" w:type="dxa"/>
            <w:shd w:val="clear" w:color="auto" w:fill="auto"/>
          </w:tcPr>
          <w:p w:rsidR="00FA0286" w:rsidRPr="00DE4FC8" w:rsidRDefault="00BA3C5D" w:rsidP="005E7163">
            <w:pPr>
              <w:spacing w:line="360" w:lineRule="auto"/>
              <w:jc w:val="both"/>
              <w:rPr>
                <w:sz w:val="16"/>
                <w:szCs w:val="16"/>
              </w:rPr>
            </w:pPr>
            <w:r w:rsidRPr="00DE4FC8">
              <w:rPr>
                <w:sz w:val="16"/>
                <w:szCs w:val="16"/>
              </w:rPr>
              <w:t xml:space="preserve">Baixo </w:t>
            </w:r>
            <w:r w:rsidRPr="00DE4FC8">
              <w:rPr>
                <w:sz w:val="16"/>
                <w:szCs w:val="16"/>
              </w:rPr>
              <w:lastRenderedPageBreak/>
              <w:t>Amazonas</w:t>
            </w:r>
          </w:p>
        </w:tc>
        <w:tc>
          <w:tcPr>
            <w:tcW w:w="1023" w:type="dxa"/>
            <w:shd w:val="clear" w:color="auto" w:fill="auto"/>
          </w:tcPr>
          <w:p w:rsidR="00FA0286" w:rsidRPr="00DE4FC8" w:rsidRDefault="00BA3C5D" w:rsidP="005E7163">
            <w:pPr>
              <w:spacing w:line="360" w:lineRule="auto"/>
              <w:jc w:val="both"/>
              <w:rPr>
                <w:sz w:val="16"/>
                <w:szCs w:val="16"/>
              </w:rPr>
            </w:pPr>
            <w:r w:rsidRPr="00DE4FC8">
              <w:rPr>
                <w:sz w:val="16"/>
                <w:szCs w:val="16"/>
              </w:rPr>
              <w:lastRenderedPageBreak/>
              <w:t>Prainha</w:t>
            </w:r>
          </w:p>
        </w:tc>
        <w:tc>
          <w:tcPr>
            <w:tcW w:w="1039" w:type="dxa"/>
            <w:shd w:val="clear" w:color="auto" w:fill="auto"/>
          </w:tcPr>
          <w:p w:rsidR="00FA0286" w:rsidRPr="00DE4FC8" w:rsidRDefault="00BA3C5D" w:rsidP="005E7163">
            <w:pPr>
              <w:spacing w:line="360" w:lineRule="auto"/>
              <w:jc w:val="both"/>
              <w:rPr>
                <w:sz w:val="16"/>
                <w:szCs w:val="16"/>
              </w:rPr>
            </w:pPr>
            <w:r w:rsidRPr="00DE4FC8">
              <w:rPr>
                <w:sz w:val="16"/>
                <w:szCs w:val="16"/>
              </w:rPr>
              <w:t>0,22</w:t>
            </w:r>
          </w:p>
        </w:tc>
        <w:tc>
          <w:tcPr>
            <w:tcW w:w="992" w:type="dxa"/>
            <w:shd w:val="clear" w:color="auto" w:fill="auto"/>
          </w:tcPr>
          <w:p w:rsidR="00FA0286" w:rsidRPr="00DE4FC8" w:rsidRDefault="00BA3C5D" w:rsidP="005E7163">
            <w:pPr>
              <w:spacing w:line="360" w:lineRule="auto"/>
              <w:jc w:val="both"/>
              <w:rPr>
                <w:sz w:val="16"/>
                <w:szCs w:val="16"/>
              </w:rPr>
            </w:pPr>
            <w:r w:rsidRPr="00DE4FC8">
              <w:rPr>
                <w:sz w:val="16"/>
                <w:szCs w:val="16"/>
              </w:rPr>
              <w:t>0,20</w:t>
            </w:r>
          </w:p>
        </w:tc>
        <w:tc>
          <w:tcPr>
            <w:tcW w:w="668" w:type="dxa"/>
            <w:shd w:val="clear" w:color="auto" w:fill="auto"/>
          </w:tcPr>
          <w:p w:rsidR="00FA0286" w:rsidRPr="00DE4FC8" w:rsidRDefault="007B7138" w:rsidP="005E7163">
            <w:pPr>
              <w:spacing w:line="360" w:lineRule="auto"/>
              <w:jc w:val="both"/>
              <w:rPr>
                <w:sz w:val="16"/>
                <w:szCs w:val="16"/>
              </w:rPr>
            </w:pPr>
            <w:r w:rsidRPr="00DE4FC8">
              <w:rPr>
                <w:sz w:val="16"/>
                <w:szCs w:val="16"/>
              </w:rPr>
              <w:t>-</w:t>
            </w:r>
            <w:r w:rsidR="00BA3C5D" w:rsidRPr="00DE4FC8">
              <w:rPr>
                <w:sz w:val="16"/>
                <w:szCs w:val="16"/>
              </w:rPr>
              <w:t>0,02</w:t>
            </w:r>
          </w:p>
        </w:tc>
        <w:tc>
          <w:tcPr>
            <w:tcW w:w="892" w:type="dxa"/>
            <w:shd w:val="clear" w:color="auto" w:fill="auto"/>
          </w:tcPr>
          <w:p w:rsidR="00FA0286" w:rsidRPr="00DE4FC8" w:rsidRDefault="00BA3C5D" w:rsidP="005E7163">
            <w:pPr>
              <w:spacing w:line="360" w:lineRule="auto"/>
              <w:jc w:val="both"/>
              <w:rPr>
                <w:sz w:val="16"/>
                <w:szCs w:val="16"/>
              </w:rPr>
            </w:pPr>
            <w:r w:rsidRPr="00DE4FC8">
              <w:rPr>
                <w:sz w:val="16"/>
                <w:szCs w:val="16"/>
              </w:rPr>
              <w:t>9.824,59</w:t>
            </w:r>
          </w:p>
        </w:tc>
        <w:tc>
          <w:tcPr>
            <w:tcW w:w="992" w:type="dxa"/>
            <w:shd w:val="clear" w:color="auto" w:fill="auto"/>
          </w:tcPr>
          <w:p w:rsidR="00FA0286" w:rsidRPr="00DE4FC8" w:rsidRDefault="00BA3C5D" w:rsidP="005E7163">
            <w:pPr>
              <w:spacing w:line="360" w:lineRule="auto"/>
              <w:jc w:val="both"/>
              <w:rPr>
                <w:sz w:val="16"/>
                <w:szCs w:val="16"/>
              </w:rPr>
            </w:pPr>
            <w:r w:rsidRPr="00DE4FC8">
              <w:rPr>
                <w:sz w:val="16"/>
                <w:szCs w:val="16"/>
              </w:rPr>
              <w:t>78.306,22</w:t>
            </w:r>
          </w:p>
        </w:tc>
        <w:tc>
          <w:tcPr>
            <w:tcW w:w="1276" w:type="dxa"/>
            <w:shd w:val="clear" w:color="auto" w:fill="auto"/>
          </w:tcPr>
          <w:p w:rsidR="00FA0286" w:rsidRPr="00DE4FC8" w:rsidRDefault="00BA3C5D" w:rsidP="005E7163">
            <w:pPr>
              <w:spacing w:line="360" w:lineRule="auto"/>
              <w:jc w:val="both"/>
              <w:rPr>
                <w:sz w:val="16"/>
                <w:szCs w:val="16"/>
              </w:rPr>
            </w:pPr>
            <w:r w:rsidRPr="00DE4FC8">
              <w:rPr>
                <w:sz w:val="16"/>
                <w:szCs w:val="16"/>
              </w:rPr>
              <w:t>1.659.577,88</w:t>
            </w:r>
          </w:p>
        </w:tc>
        <w:tc>
          <w:tcPr>
            <w:tcW w:w="1339" w:type="dxa"/>
            <w:shd w:val="clear" w:color="auto" w:fill="auto"/>
          </w:tcPr>
          <w:p w:rsidR="00FA0286" w:rsidRPr="00DE4FC8" w:rsidRDefault="00BA3C5D" w:rsidP="005E7163">
            <w:pPr>
              <w:spacing w:line="360" w:lineRule="auto"/>
              <w:jc w:val="both"/>
              <w:rPr>
                <w:sz w:val="16"/>
                <w:szCs w:val="16"/>
              </w:rPr>
            </w:pPr>
            <w:r w:rsidRPr="00DE4FC8">
              <w:rPr>
                <w:sz w:val="16"/>
                <w:szCs w:val="16"/>
              </w:rPr>
              <w:t>4,72</w:t>
            </w:r>
          </w:p>
        </w:tc>
      </w:tr>
      <w:tr w:rsidR="007B7138" w:rsidRPr="00DE4FC8" w:rsidTr="009D4D5E">
        <w:tc>
          <w:tcPr>
            <w:tcW w:w="1023" w:type="dxa"/>
            <w:shd w:val="clear" w:color="auto" w:fill="auto"/>
          </w:tcPr>
          <w:p w:rsidR="007B7138" w:rsidRPr="00DE4FC8" w:rsidRDefault="007B7138" w:rsidP="005E7163">
            <w:pPr>
              <w:spacing w:line="360" w:lineRule="auto"/>
              <w:jc w:val="both"/>
              <w:rPr>
                <w:sz w:val="16"/>
                <w:szCs w:val="16"/>
              </w:rPr>
            </w:pPr>
            <w:r w:rsidRPr="00DE4FC8">
              <w:rPr>
                <w:sz w:val="16"/>
                <w:szCs w:val="16"/>
              </w:rPr>
              <w:lastRenderedPageBreak/>
              <w:t>Marajó</w:t>
            </w:r>
          </w:p>
        </w:tc>
        <w:tc>
          <w:tcPr>
            <w:tcW w:w="1023" w:type="dxa"/>
            <w:shd w:val="clear" w:color="auto" w:fill="auto"/>
          </w:tcPr>
          <w:p w:rsidR="007B7138" w:rsidRPr="00DE4FC8" w:rsidRDefault="007B7138" w:rsidP="005E7163">
            <w:pPr>
              <w:spacing w:line="360" w:lineRule="auto"/>
              <w:jc w:val="both"/>
              <w:rPr>
                <w:sz w:val="16"/>
                <w:szCs w:val="16"/>
              </w:rPr>
            </w:pPr>
            <w:r w:rsidRPr="00DE4FC8">
              <w:rPr>
                <w:sz w:val="16"/>
                <w:szCs w:val="16"/>
              </w:rPr>
              <w:t>Portel</w:t>
            </w:r>
          </w:p>
        </w:tc>
        <w:tc>
          <w:tcPr>
            <w:tcW w:w="1039" w:type="dxa"/>
            <w:shd w:val="clear" w:color="auto" w:fill="auto"/>
          </w:tcPr>
          <w:p w:rsidR="007B7138" w:rsidRPr="00DE4FC8" w:rsidRDefault="007B7138" w:rsidP="005E7163">
            <w:pPr>
              <w:spacing w:line="360" w:lineRule="auto"/>
              <w:jc w:val="both"/>
              <w:rPr>
                <w:sz w:val="16"/>
                <w:szCs w:val="16"/>
              </w:rPr>
            </w:pPr>
            <w:r w:rsidRPr="00DE4FC8">
              <w:rPr>
                <w:sz w:val="16"/>
                <w:szCs w:val="16"/>
              </w:rPr>
              <w:t>0,35</w:t>
            </w:r>
          </w:p>
        </w:tc>
        <w:tc>
          <w:tcPr>
            <w:tcW w:w="992" w:type="dxa"/>
            <w:shd w:val="clear" w:color="auto" w:fill="auto"/>
          </w:tcPr>
          <w:p w:rsidR="007B7138" w:rsidRPr="00DE4FC8" w:rsidRDefault="007B7138" w:rsidP="005E7163">
            <w:pPr>
              <w:spacing w:line="360" w:lineRule="auto"/>
              <w:jc w:val="both"/>
              <w:rPr>
                <w:sz w:val="16"/>
                <w:szCs w:val="16"/>
              </w:rPr>
            </w:pPr>
            <w:r w:rsidRPr="00DE4FC8">
              <w:rPr>
                <w:sz w:val="16"/>
                <w:szCs w:val="16"/>
              </w:rPr>
              <w:t>0,33</w:t>
            </w:r>
          </w:p>
        </w:tc>
        <w:tc>
          <w:tcPr>
            <w:tcW w:w="668" w:type="dxa"/>
            <w:shd w:val="clear" w:color="auto" w:fill="auto"/>
          </w:tcPr>
          <w:p w:rsidR="007B7138" w:rsidRPr="00DE4FC8" w:rsidRDefault="007B7138" w:rsidP="005E7163">
            <w:pPr>
              <w:spacing w:line="360" w:lineRule="auto"/>
              <w:jc w:val="both"/>
              <w:rPr>
                <w:sz w:val="16"/>
                <w:szCs w:val="16"/>
              </w:rPr>
            </w:pPr>
            <w:r w:rsidRPr="00DE4FC8">
              <w:rPr>
                <w:sz w:val="16"/>
                <w:szCs w:val="16"/>
              </w:rPr>
              <w:t>-0,02</w:t>
            </w:r>
          </w:p>
        </w:tc>
        <w:tc>
          <w:tcPr>
            <w:tcW w:w="892" w:type="dxa"/>
            <w:shd w:val="clear" w:color="auto" w:fill="auto"/>
          </w:tcPr>
          <w:p w:rsidR="007B7138" w:rsidRPr="00DE4FC8" w:rsidRDefault="007B7138" w:rsidP="005E7163">
            <w:pPr>
              <w:spacing w:line="360" w:lineRule="auto"/>
              <w:jc w:val="both"/>
              <w:rPr>
                <w:sz w:val="16"/>
                <w:szCs w:val="16"/>
              </w:rPr>
            </w:pPr>
            <w:r w:rsidRPr="00DE4FC8">
              <w:rPr>
                <w:sz w:val="16"/>
                <w:szCs w:val="16"/>
              </w:rPr>
              <w:t>1.892,69</w:t>
            </w:r>
          </w:p>
        </w:tc>
        <w:tc>
          <w:tcPr>
            <w:tcW w:w="992" w:type="dxa"/>
            <w:shd w:val="clear" w:color="auto" w:fill="auto"/>
          </w:tcPr>
          <w:p w:rsidR="007B7138" w:rsidRPr="00DE4FC8" w:rsidRDefault="007B7138" w:rsidP="005E7163">
            <w:pPr>
              <w:spacing w:line="360" w:lineRule="auto"/>
              <w:jc w:val="both"/>
              <w:rPr>
                <w:sz w:val="16"/>
                <w:szCs w:val="16"/>
              </w:rPr>
            </w:pPr>
            <w:r w:rsidRPr="00DE4FC8">
              <w:rPr>
                <w:sz w:val="16"/>
                <w:szCs w:val="16"/>
              </w:rPr>
              <w:t>147.040,02</w:t>
            </w:r>
          </w:p>
        </w:tc>
        <w:tc>
          <w:tcPr>
            <w:tcW w:w="1276" w:type="dxa"/>
            <w:shd w:val="clear" w:color="auto" w:fill="auto"/>
          </w:tcPr>
          <w:p w:rsidR="007B7138" w:rsidRPr="00DE4FC8" w:rsidRDefault="007B7138" w:rsidP="005E7163">
            <w:pPr>
              <w:spacing w:line="360" w:lineRule="auto"/>
              <w:jc w:val="both"/>
              <w:rPr>
                <w:sz w:val="16"/>
                <w:szCs w:val="16"/>
              </w:rPr>
            </w:pPr>
            <w:r w:rsidRPr="00DE4FC8">
              <w:rPr>
                <w:sz w:val="16"/>
                <w:szCs w:val="16"/>
              </w:rPr>
              <w:t>2.738.303,51</w:t>
            </w:r>
          </w:p>
        </w:tc>
        <w:tc>
          <w:tcPr>
            <w:tcW w:w="1339" w:type="dxa"/>
            <w:shd w:val="clear" w:color="auto" w:fill="auto"/>
          </w:tcPr>
          <w:p w:rsidR="007B7138" w:rsidRPr="00DE4FC8" w:rsidRDefault="007B7138" w:rsidP="005E7163">
            <w:pPr>
              <w:spacing w:line="360" w:lineRule="auto"/>
              <w:jc w:val="both"/>
              <w:rPr>
                <w:sz w:val="16"/>
                <w:szCs w:val="16"/>
              </w:rPr>
            </w:pPr>
            <w:r w:rsidRPr="00DE4FC8">
              <w:rPr>
                <w:sz w:val="16"/>
                <w:szCs w:val="16"/>
              </w:rPr>
              <w:t>5,37</w:t>
            </w:r>
          </w:p>
        </w:tc>
      </w:tr>
      <w:tr w:rsidR="007B7138" w:rsidRPr="00DE4FC8" w:rsidTr="009D4D5E">
        <w:tc>
          <w:tcPr>
            <w:tcW w:w="1023" w:type="dxa"/>
            <w:shd w:val="clear" w:color="auto" w:fill="auto"/>
          </w:tcPr>
          <w:p w:rsidR="007B7138" w:rsidRPr="00DE4FC8" w:rsidRDefault="007B7138" w:rsidP="005E7163">
            <w:pPr>
              <w:spacing w:line="360" w:lineRule="auto"/>
              <w:jc w:val="both"/>
              <w:rPr>
                <w:sz w:val="16"/>
                <w:szCs w:val="16"/>
              </w:rPr>
            </w:pPr>
            <w:r w:rsidRPr="00DE4FC8">
              <w:rPr>
                <w:sz w:val="16"/>
                <w:szCs w:val="16"/>
              </w:rPr>
              <w:t>Rio Caeté</w:t>
            </w:r>
          </w:p>
        </w:tc>
        <w:tc>
          <w:tcPr>
            <w:tcW w:w="1023" w:type="dxa"/>
            <w:shd w:val="clear" w:color="auto" w:fill="auto"/>
          </w:tcPr>
          <w:p w:rsidR="007B7138" w:rsidRPr="00DE4FC8" w:rsidRDefault="00B26254" w:rsidP="005E7163">
            <w:pPr>
              <w:spacing w:line="360" w:lineRule="auto"/>
              <w:jc w:val="both"/>
              <w:rPr>
                <w:sz w:val="16"/>
                <w:szCs w:val="16"/>
              </w:rPr>
            </w:pPr>
            <w:r w:rsidRPr="00DE4FC8">
              <w:rPr>
                <w:sz w:val="16"/>
                <w:szCs w:val="16"/>
              </w:rPr>
              <w:t>Bragança</w:t>
            </w:r>
          </w:p>
        </w:tc>
        <w:tc>
          <w:tcPr>
            <w:tcW w:w="1039" w:type="dxa"/>
            <w:shd w:val="clear" w:color="auto" w:fill="auto"/>
          </w:tcPr>
          <w:p w:rsidR="007B7138" w:rsidRPr="00DE4FC8" w:rsidRDefault="00B26254" w:rsidP="005E7163">
            <w:pPr>
              <w:spacing w:line="360" w:lineRule="auto"/>
              <w:jc w:val="both"/>
              <w:rPr>
                <w:sz w:val="16"/>
                <w:szCs w:val="16"/>
              </w:rPr>
            </w:pPr>
            <w:r w:rsidRPr="00DE4FC8">
              <w:rPr>
                <w:sz w:val="16"/>
                <w:szCs w:val="16"/>
              </w:rPr>
              <w:t>0,36</w:t>
            </w:r>
          </w:p>
        </w:tc>
        <w:tc>
          <w:tcPr>
            <w:tcW w:w="992" w:type="dxa"/>
            <w:shd w:val="clear" w:color="auto" w:fill="auto"/>
          </w:tcPr>
          <w:p w:rsidR="007B7138" w:rsidRPr="00DE4FC8" w:rsidRDefault="00B26254" w:rsidP="005E7163">
            <w:pPr>
              <w:spacing w:line="360" w:lineRule="auto"/>
              <w:jc w:val="both"/>
              <w:rPr>
                <w:sz w:val="16"/>
                <w:szCs w:val="16"/>
              </w:rPr>
            </w:pPr>
            <w:r w:rsidRPr="00DE4FC8">
              <w:rPr>
                <w:sz w:val="16"/>
                <w:szCs w:val="16"/>
              </w:rPr>
              <w:t>0,35</w:t>
            </w:r>
          </w:p>
        </w:tc>
        <w:tc>
          <w:tcPr>
            <w:tcW w:w="668" w:type="dxa"/>
            <w:shd w:val="clear" w:color="auto" w:fill="auto"/>
          </w:tcPr>
          <w:p w:rsidR="007B7138" w:rsidRPr="00DE4FC8" w:rsidRDefault="00B26254" w:rsidP="005E7163">
            <w:pPr>
              <w:spacing w:line="360" w:lineRule="auto"/>
              <w:jc w:val="both"/>
              <w:rPr>
                <w:sz w:val="16"/>
                <w:szCs w:val="16"/>
              </w:rPr>
            </w:pPr>
            <w:r w:rsidRPr="00DE4FC8">
              <w:rPr>
                <w:sz w:val="16"/>
                <w:szCs w:val="16"/>
              </w:rPr>
              <w:t>-0,01</w:t>
            </w:r>
          </w:p>
        </w:tc>
        <w:tc>
          <w:tcPr>
            <w:tcW w:w="892" w:type="dxa"/>
            <w:shd w:val="clear" w:color="auto" w:fill="auto"/>
          </w:tcPr>
          <w:p w:rsidR="007B7138" w:rsidRPr="00DE4FC8" w:rsidRDefault="00B26254" w:rsidP="005E7163">
            <w:pPr>
              <w:spacing w:line="360" w:lineRule="auto"/>
              <w:jc w:val="both"/>
              <w:rPr>
                <w:sz w:val="16"/>
                <w:szCs w:val="16"/>
              </w:rPr>
            </w:pPr>
            <w:r w:rsidRPr="00DE4FC8">
              <w:rPr>
                <w:sz w:val="16"/>
                <w:szCs w:val="16"/>
              </w:rPr>
              <w:t>226,12</w:t>
            </w:r>
          </w:p>
        </w:tc>
        <w:tc>
          <w:tcPr>
            <w:tcW w:w="992" w:type="dxa"/>
            <w:shd w:val="clear" w:color="auto" w:fill="auto"/>
          </w:tcPr>
          <w:p w:rsidR="007B7138" w:rsidRPr="00DE4FC8" w:rsidRDefault="00B26254" w:rsidP="005E7163">
            <w:pPr>
              <w:spacing w:line="360" w:lineRule="auto"/>
              <w:jc w:val="both"/>
              <w:rPr>
                <w:sz w:val="16"/>
                <w:szCs w:val="16"/>
              </w:rPr>
            </w:pPr>
            <w:r w:rsidRPr="00DE4FC8">
              <w:rPr>
                <w:sz w:val="16"/>
                <w:szCs w:val="16"/>
              </w:rPr>
              <w:t>31.382,00</w:t>
            </w:r>
          </w:p>
        </w:tc>
        <w:tc>
          <w:tcPr>
            <w:tcW w:w="1276" w:type="dxa"/>
            <w:shd w:val="clear" w:color="auto" w:fill="auto"/>
          </w:tcPr>
          <w:p w:rsidR="007B7138" w:rsidRPr="00DE4FC8" w:rsidRDefault="00B26254" w:rsidP="005E7163">
            <w:pPr>
              <w:spacing w:line="360" w:lineRule="auto"/>
              <w:jc w:val="both"/>
              <w:rPr>
                <w:sz w:val="16"/>
                <w:szCs w:val="16"/>
              </w:rPr>
            </w:pPr>
            <w:r w:rsidRPr="00DE4FC8">
              <w:rPr>
                <w:sz w:val="16"/>
                <w:szCs w:val="16"/>
              </w:rPr>
              <w:t>2.904.261,30</w:t>
            </w:r>
          </w:p>
        </w:tc>
        <w:tc>
          <w:tcPr>
            <w:tcW w:w="1339" w:type="dxa"/>
            <w:shd w:val="clear" w:color="auto" w:fill="auto"/>
          </w:tcPr>
          <w:p w:rsidR="007B7138" w:rsidRPr="00DE4FC8" w:rsidRDefault="00B26254" w:rsidP="005E7163">
            <w:pPr>
              <w:spacing w:line="360" w:lineRule="auto"/>
              <w:jc w:val="both"/>
              <w:rPr>
                <w:sz w:val="16"/>
                <w:szCs w:val="16"/>
              </w:rPr>
            </w:pPr>
            <w:r w:rsidRPr="00DE4FC8">
              <w:rPr>
                <w:sz w:val="16"/>
                <w:szCs w:val="16"/>
              </w:rPr>
              <w:t>1,08</w:t>
            </w:r>
          </w:p>
        </w:tc>
      </w:tr>
      <w:tr w:rsidR="00B26254" w:rsidRPr="00DE4FC8" w:rsidTr="009D4D5E">
        <w:tc>
          <w:tcPr>
            <w:tcW w:w="1023" w:type="dxa"/>
            <w:shd w:val="clear" w:color="auto" w:fill="auto"/>
          </w:tcPr>
          <w:p w:rsidR="00B26254" w:rsidRPr="00DE4FC8" w:rsidRDefault="00B26254" w:rsidP="005E7163">
            <w:pPr>
              <w:spacing w:line="360" w:lineRule="auto"/>
              <w:jc w:val="both"/>
              <w:rPr>
                <w:sz w:val="16"/>
                <w:szCs w:val="16"/>
              </w:rPr>
            </w:pPr>
            <w:r w:rsidRPr="00DE4FC8">
              <w:rPr>
                <w:sz w:val="16"/>
                <w:szCs w:val="16"/>
              </w:rPr>
              <w:t>Guamá</w:t>
            </w:r>
          </w:p>
        </w:tc>
        <w:tc>
          <w:tcPr>
            <w:tcW w:w="1023" w:type="dxa"/>
            <w:shd w:val="clear" w:color="auto" w:fill="auto"/>
          </w:tcPr>
          <w:p w:rsidR="00B26254" w:rsidRPr="00DE4FC8" w:rsidRDefault="00B26254" w:rsidP="005E7163">
            <w:pPr>
              <w:spacing w:line="360" w:lineRule="auto"/>
              <w:jc w:val="both"/>
              <w:rPr>
                <w:sz w:val="16"/>
                <w:szCs w:val="16"/>
              </w:rPr>
            </w:pPr>
            <w:r w:rsidRPr="00DE4FC8">
              <w:rPr>
                <w:sz w:val="16"/>
                <w:szCs w:val="16"/>
              </w:rPr>
              <w:t>Maracanã</w:t>
            </w:r>
          </w:p>
        </w:tc>
        <w:tc>
          <w:tcPr>
            <w:tcW w:w="1039" w:type="dxa"/>
            <w:shd w:val="clear" w:color="auto" w:fill="auto"/>
          </w:tcPr>
          <w:p w:rsidR="00B26254" w:rsidRPr="00DE4FC8" w:rsidRDefault="00B26254" w:rsidP="005E7163">
            <w:pPr>
              <w:spacing w:line="360" w:lineRule="auto"/>
              <w:jc w:val="both"/>
              <w:rPr>
                <w:sz w:val="16"/>
                <w:szCs w:val="16"/>
              </w:rPr>
            </w:pPr>
            <w:r w:rsidRPr="00DE4FC8">
              <w:rPr>
                <w:sz w:val="16"/>
                <w:szCs w:val="16"/>
              </w:rPr>
              <w:t>0,14</w:t>
            </w:r>
          </w:p>
        </w:tc>
        <w:tc>
          <w:tcPr>
            <w:tcW w:w="992" w:type="dxa"/>
            <w:shd w:val="clear" w:color="auto" w:fill="auto"/>
          </w:tcPr>
          <w:p w:rsidR="00B26254" w:rsidRPr="00DE4FC8" w:rsidRDefault="00B26254" w:rsidP="005E7163">
            <w:pPr>
              <w:spacing w:line="360" w:lineRule="auto"/>
              <w:jc w:val="both"/>
              <w:rPr>
                <w:sz w:val="16"/>
                <w:szCs w:val="16"/>
              </w:rPr>
            </w:pPr>
            <w:r w:rsidRPr="00DE4FC8">
              <w:rPr>
                <w:sz w:val="16"/>
                <w:szCs w:val="16"/>
              </w:rPr>
              <w:t>0,13</w:t>
            </w:r>
          </w:p>
        </w:tc>
        <w:tc>
          <w:tcPr>
            <w:tcW w:w="668" w:type="dxa"/>
            <w:shd w:val="clear" w:color="auto" w:fill="auto"/>
          </w:tcPr>
          <w:p w:rsidR="00B26254" w:rsidRPr="00DE4FC8" w:rsidRDefault="00B26254" w:rsidP="005E7163">
            <w:pPr>
              <w:spacing w:line="360" w:lineRule="auto"/>
              <w:jc w:val="both"/>
              <w:rPr>
                <w:sz w:val="16"/>
                <w:szCs w:val="16"/>
              </w:rPr>
            </w:pPr>
            <w:r w:rsidRPr="00DE4FC8">
              <w:rPr>
                <w:sz w:val="16"/>
                <w:szCs w:val="16"/>
              </w:rPr>
              <w:t>-0,01</w:t>
            </w:r>
          </w:p>
        </w:tc>
        <w:tc>
          <w:tcPr>
            <w:tcW w:w="892" w:type="dxa"/>
            <w:shd w:val="clear" w:color="auto" w:fill="auto"/>
          </w:tcPr>
          <w:p w:rsidR="00B26254" w:rsidRPr="00DE4FC8" w:rsidRDefault="00B26254" w:rsidP="005E7163">
            <w:pPr>
              <w:spacing w:line="360" w:lineRule="auto"/>
              <w:jc w:val="both"/>
              <w:rPr>
                <w:sz w:val="16"/>
                <w:szCs w:val="16"/>
              </w:rPr>
            </w:pPr>
            <w:r w:rsidRPr="00DE4FC8">
              <w:rPr>
                <w:sz w:val="16"/>
                <w:szCs w:val="16"/>
              </w:rPr>
              <w:t>186,64</w:t>
            </w:r>
          </w:p>
        </w:tc>
        <w:tc>
          <w:tcPr>
            <w:tcW w:w="992" w:type="dxa"/>
            <w:shd w:val="clear" w:color="auto" w:fill="auto"/>
          </w:tcPr>
          <w:p w:rsidR="00B26254" w:rsidRPr="00DE4FC8" w:rsidRDefault="00B26254" w:rsidP="005E7163">
            <w:pPr>
              <w:spacing w:line="360" w:lineRule="auto"/>
              <w:jc w:val="both"/>
              <w:rPr>
                <w:sz w:val="16"/>
                <w:szCs w:val="16"/>
              </w:rPr>
            </w:pPr>
            <w:r w:rsidRPr="00DE4FC8">
              <w:rPr>
                <w:sz w:val="16"/>
                <w:szCs w:val="16"/>
              </w:rPr>
              <w:t>107.156,47</w:t>
            </w:r>
          </w:p>
        </w:tc>
        <w:tc>
          <w:tcPr>
            <w:tcW w:w="1276" w:type="dxa"/>
            <w:shd w:val="clear" w:color="auto" w:fill="auto"/>
          </w:tcPr>
          <w:p w:rsidR="00B26254" w:rsidRPr="00DE4FC8" w:rsidRDefault="00B26254" w:rsidP="005E7163">
            <w:pPr>
              <w:spacing w:line="360" w:lineRule="auto"/>
              <w:jc w:val="both"/>
              <w:rPr>
                <w:sz w:val="16"/>
                <w:szCs w:val="16"/>
              </w:rPr>
            </w:pPr>
            <w:r w:rsidRPr="00DE4FC8">
              <w:rPr>
                <w:sz w:val="16"/>
                <w:szCs w:val="16"/>
              </w:rPr>
              <w:t>1.078.725,62</w:t>
            </w:r>
          </w:p>
        </w:tc>
        <w:tc>
          <w:tcPr>
            <w:tcW w:w="1339" w:type="dxa"/>
            <w:shd w:val="clear" w:color="auto" w:fill="auto"/>
          </w:tcPr>
          <w:p w:rsidR="00B26254" w:rsidRPr="00DE4FC8" w:rsidRDefault="00B26254" w:rsidP="005E7163">
            <w:pPr>
              <w:spacing w:line="360" w:lineRule="auto"/>
              <w:jc w:val="both"/>
              <w:rPr>
                <w:sz w:val="16"/>
                <w:szCs w:val="16"/>
              </w:rPr>
            </w:pPr>
            <w:r w:rsidRPr="00DE4FC8">
              <w:rPr>
                <w:sz w:val="16"/>
                <w:szCs w:val="16"/>
              </w:rPr>
              <w:t>9,93</w:t>
            </w:r>
          </w:p>
        </w:tc>
      </w:tr>
    </w:tbl>
    <w:p w:rsidR="00FA0286" w:rsidRPr="00DE4FC8" w:rsidRDefault="00B26254" w:rsidP="005E7163">
      <w:pPr>
        <w:spacing w:line="360" w:lineRule="auto"/>
        <w:jc w:val="both"/>
      </w:pPr>
      <w:r w:rsidRPr="00DE4FC8">
        <w:t>Fonte: Programa Municípios Verdes e SEFA.</w:t>
      </w:r>
    </w:p>
    <w:p w:rsidR="00E17C1D" w:rsidRPr="00DE4FC8" w:rsidRDefault="00E17C1D" w:rsidP="005E7163">
      <w:pPr>
        <w:spacing w:line="360" w:lineRule="auto"/>
        <w:ind w:firstLine="709"/>
        <w:jc w:val="both"/>
      </w:pPr>
    </w:p>
    <w:p w:rsidR="00E17C1D" w:rsidRPr="00DE4FC8" w:rsidRDefault="00E17C1D" w:rsidP="0078321F">
      <w:pPr>
        <w:jc w:val="both"/>
      </w:pPr>
      <w:r w:rsidRPr="00DE4FC8">
        <w:t>A porcentagem de área cadastrável no Cadastro Ambiental Rural (CAR) do munícipio perfaz 50% do critério ambiental do ICMS Verde. Isso que dizer que o município recebe transferência de ICMS a partir do aumento do cadastro de CAR.</w:t>
      </w:r>
      <w:r w:rsidR="00C60406" w:rsidRPr="00DE4FC8">
        <w:t xml:space="preserve"> </w:t>
      </w:r>
      <w:r w:rsidR="000E2BF2" w:rsidRPr="00DE4FC8">
        <w:t xml:space="preserve">Destaca-se o objetivo secundário </w:t>
      </w:r>
      <w:proofErr w:type="gramStart"/>
      <w:r w:rsidR="000E2BF2" w:rsidRPr="00DE4FC8">
        <w:t xml:space="preserve">de </w:t>
      </w:r>
      <w:r w:rsidR="00C60406" w:rsidRPr="00DE4FC8">
        <w:t xml:space="preserve"> </w:t>
      </w:r>
      <w:r w:rsidR="000E2BF2" w:rsidRPr="00DE4FC8">
        <w:t>diminuição</w:t>
      </w:r>
      <w:proofErr w:type="gramEnd"/>
      <w:r w:rsidR="000E2BF2" w:rsidRPr="00DE4FC8">
        <w:t xml:space="preserve"> dos </w:t>
      </w:r>
      <w:r w:rsidR="00C60406" w:rsidRPr="00DE4FC8">
        <w:t>passivo ambienta</w:t>
      </w:r>
      <w:r w:rsidR="000E2BF2" w:rsidRPr="00DE4FC8">
        <w:t>is</w:t>
      </w:r>
      <w:r w:rsidR="00C60406" w:rsidRPr="00DE4FC8">
        <w:t>, por exemplo, desmatamento</w:t>
      </w:r>
      <w:r w:rsidR="000E2BF2" w:rsidRPr="00DE4FC8">
        <w:t xml:space="preserve"> por meio de </w:t>
      </w:r>
      <w:r w:rsidR="00C60406" w:rsidRPr="00DE4FC8">
        <w:t xml:space="preserve"> Termo de Ajustamento de Conduta</w:t>
      </w:r>
      <w:r w:rsidR="000E2BF2" w:rsidRPr="00DE4FC8">
        <w:t xml:space="preserve"> </w:t>
      </w:r>
      <w:r w:rsidR="00C60406" w:rsidRPr="00DE4FC8">
        <w:t>(TAC) ou Termo de Compromisso (TC)</w:t>
      </w:r>
      <w:r w:rsidR="000E2BF2" w:rsidRPr="00DE4FC8">
        <w:t xml:space="preserve">. </w:t>
      </w:r>
      <w:r w:rsidRPr="00DE4FC8">
        <w:t xml:space="preserve">Porém, </w:t>
      </w:r>
      <w:r w:rsidR="00D47FA6" w:rsidRPr="00DE4FC8">
        <w:t xml:space="preserve">aos produtores rurais cabem </w:t>
      </w:r>
      <w:r w:rsidRPr="00DE4FC8">
        <w:t>os custos das medidas de conservação</w:t>
      </w:r>
      <w:r w:rsidR="00D47FA6" w:rsidRPr="00DE4FC8">
        <w:t xml:space="preserve"> e obtenção da Licença Ambiental. Partindo desse pressuposto é necessário que se pense em me</w:t>
      </w:r>
      <w:r w:rsidR="003C55C2" w:rsidRPr="00DE4FC8">
        <w:t>di</w:t>
      </w:r>
      <w:r w:rsidR="00D47FA6" w:rsidRPr="00DE4FC8">
        <w:t xml:space="preserve">das que garantam </w:t>
      </w:r>
      <w:r w:rsidRPr="00DE4FC8">
        <w:t>benefícios s</w:t>
      </w:r>
      <w:r w:rsidR="00D47FA6" w:rsidRPr="00DE4FC8">
        <w:t>o</w:t>
      </w:r>
      <w:r w:rsidRPr="00DE4FC8">
        <w:t xml:space="preserve">cioeconômico-ambientais tanto para os </w:t>
      </w:r>
      <w:r w:rsidR="00D47FA6" w:rsidRPr="00DE4FC8">
        <w:t>munícipios</w:t>
      </w:r>
      <w:r w:rsidRPr="00DE4FC8">
        <w:t>, quanto para a sociedade como um todo</w:t>
      </w:r>
      <w:r w:rsidR="00D47FA6" w:rsidRPr="00DE4FC8">
        <w:t>, quanto para os produtores</w:t>
      </w:r>
      <w:r w:rsidRPr="00DE4FC8">
        <w:t>.</w:t>
      </w:r>
    </w:p>
    <w:p w:rsidR="00E83FF5" w:rsidRPr="00DE4FC8" w:rsidRDefault="00E83FF5" w:rsidP="0078321F">
      <w:pPr>
        <w:jc w:val="both"/>
      </w:pPr>
      <w:r w:rsidRPr="00DE4FC8">
        <w:t>Segundo Vasconcelos e Vasconcellos Sobrinho (2012), a experiência mostra que, se um programa de governo pretende ter um impacto positivo sobre os aspectos sociais, culturais, políticos, econômicos e ambientais, as estratégias devem ser desenvolvidas para as situações específicas em que o conhecimento é criado, estruturado, e usado.</w:t>
      </w:r>
      <w:r w:rsidRPr="00DE4FC8">
        <w:rPr>
          <w:rFonts w:ascii="Verdana" w:hAnsi="Verdana"/>
          <w:sz w:val="20"/>
          <w:szCs w:val="20"/>
        </w:rPr>
        <w:t xml:space="preserve"> </w:t>
      </w:r>
      <w:r w:rsidRPr="00DE4FC8">
        <w:t>Assim, o grande desafio que se impõe ao ICMS-</w:t>
      </w:r>
      <w:r w:rsidR="008C262A">
        <w:t>V</w:t>
      </w:r>
      <w:r w:rsidRPr="00DE4FC8">
        <w:t xml:space="preserve"> é reestruturar o sistema produtivo, garantindo desenvolvimento econômico local, preservação e conservação das AP, melhorias na qualidade ambiental municipal e atender os interesses dos diversos atores sociais existentes no território municipal.</w:t>
      </w:r>
    </w:p>
    <w:p w:rsidR="008A6E5A" w:rsidRPr="00DE4FC8" w:rsidRDefault="008A6E5A" w:rsidP="0078321F">
      <w:pPr>
        <w:jc w:val="both"/>
      </w:pPr>
    </w:p>
    <w:p w:rsidR="00E32F11" w:rsidRPr="002E475B" w:rsidRDefault="002E475B" w:rsidP="0078321F">
      <w:pPr>
        <w:autoSpaceDE w:val="0"/>
        <w:autoSpaceDN w:val="0"/>
        <w:adjustRightInd w:val="0"/>
        <w:jc w:val="both"/>
        <w:rPr>
          <w:b/>
        </w:rPr>
      </w:pPr>
      <w:r>
        <w:rPr>
          <w:b/>
        </w:rPr>
        <w:t>6</w:t>
      </w:r>
      <w:r w:rsidR="00CA3E55" w:rsidRPr="002E475B">
        <w:rPr>
          <w:b/>
        </w:rPr>
        <w:t>.2 ALGUMAS CORRELAÇÕES E OBSERVAÇÕES RELEVANTES</w:t>
      </w:r>
    </w:p>
    <w:p w:rsidR="00E32F11" w:rsidRDefault="00E32F11" w:rsidP="0078321F">
      <w:pPr>
        <w:autoSpaceDE w:val="0"/>
        <w:autoSpaceDN w:val="0"/>
        <w:adjustRightInd w:val="0"/>
        <w:jc w:val="both"/>
      </w:pPr>
    </w:p>
    <w:p w:rsidR="00E32F11" w:rsidRPr="00E32F11" w:rsidRDefault="00E32F11" w:rsidP="0078321F">
      <w:pPr>
        <w:autoSpaceDE w:val="0"/>
        <w:autoSpaceDN w:val="0"/>
        <w:adjustRightInd w:val="0"/>
        <w:jc w:val="both"/>
      </w:pPr>
      <w:r w:rsidRPr="00E32F11">
        <w:t>Os resultados observados</w:t>
      </w:r>
      <w:r>
        <w:t xml:space="preserve"> (Quadro 1)</w:t>
      </w:r>
      <w:r w:rsidRPr="00E32F11">
        <w:t xml:space="preserve"> para a correlação das variáveis selecionadas confirmam a associação que é pressuposta entre o valor do ICMS</w:t>
      </w:r>
      <w:r w:rsidR="00A417D2">
        <w:t>-V</w:t>
      </w:r>
      <w:r w:rsidRPr="00E32F11">
        <w:t xml:space="preserve"> repassado aos municípios e seus respectivos desempenhos na questã</w:t>
      </w:r>
      <w:r w:rsidR="00A417D2">
        <w:t>o da preservação de suas áreas protegidas</w:t>
      </w:r>
      <w:r w:rsidRPr="00E32F11">
        <w:t>, posto que os valores apresentados para o ICMS</w:t>
      </w:r>
      <w:r w:rsidR="00A417D2">
        <w:t>-V</w:t>
      </w:r>
      <w:r w:rsidRPr="00E32F11">
        <w:t xml:space="preserve"> para o exercício de 2014 estão fortemente correlacionados de modo positivo com o </w:t>
      </w:r>
      <w:r w:rsidR="00A417D2">
        <w:t>incremento</w:t>
      </w:r>
      <w:r w:rsidRPr="00E32F11">
        <w:t xml:space="preserve"> de áreas queimadas nos anos de 2013 (0,996) e de 2014 (0,992). Tal entendimento é ainda mais reforçando quando se observa a completa </w:t>
      </w:r>
      <w:proofErr w:type="spellStart"/>
      <w:r w:rsidRPr="00E32F11">
        <w:t>desassociação</w:t>
      </w:r>
      <w:proofErr w:type="spellEnd"/>
      <w:r w:rsidRPr="00E32F11">
        <w:t xml:space="preserve"> expressada nas baixas correlações dos valores totais de ICMS</w:t>
      </w:r>
      <w:r w:rsidR="00A417D2">
        <w:t>-V</w:t>
      </w:r>
      <w:r w:rsidRPr="00E32F11">
        <w:t xml:space="preserve"> repassados com as quantidades de queimadas.</w:t>
      </w:r>
    </w:p>
    <w:p w:rsidR="00E32F11" w:rsidRPr="00E32F11" w:rsidRDefault="00E32F11" w:rsidP="0078321F">
      <w:pPr>
        <w:autoSpaceDE w:val="0"/>
        <w:autoSpaceDN w:val="0"/>
        <w:adjustRightInd w:val="0"/>
        <w:jc w:val="both"/>
      </w:pPr>
      <w:r w:rsidRPr="00E32F11">
        <w:t xml:space="preserve">Também é válido observar a evidente correlação positiva entre </w:t>
      </w:r>
      <w:r w:rsidR="00A417D2">
        <w:t xml:space="preserve">os incrementos de </w:t>
      </w:r>
      <w:r w:rsidRPr="00E32F11">
        <w:t>áreas queimadas nos anos de 2013 e de 2014, indicando uma tendência</w:t>
      </w:r>
      <w:r w:rsidR="00A417D2">
        <w:t xml:space="preserve"> de </w:t>
      </w:r>
      <w:r w:rsidRPr="00E32F11">
        <w:t xml:space="preserve">continuidade das ações que podem ou </w:t>
      </w:r>
      <w:r w:rsidR="00914320" w:rsidRPr="00E32F11">
        <w:t>não propiciar</w:t>
      </w:r>
      <w:r w:rsidRPr="00E32F11">
        <w:t xml:space="preserve"> o bom desempenho em termos de preservação ambiental nos municípios</w:t>
      </w:r>
      <w:r w:rsidR="00A417D2">
        <w:t xml:space="preserve"> (Quadro 1)</w:t>
      </w:r>
      <w:r w:rsidR="00A417D2" w:rsidRPr="00E32F11">
        <w:t>.</w:t>
      </w:r>
    </w:p>
    <w:p w:rsidR="00E32F11" w:rsidRPr="00E32F11" w:rsidRDefault="00E32F11" w:rsidP="0078321F">
      <w:pPr>
        <w:autoSpaceDE w:val="0"/>
        <w:autoSpaceDN w:val="0"/>
        <w:adjustRightInd w:val="0"/>
        <w:jc w:val="both"/>
      </w:pPr>
      <w:r w:rsidRPr="00E32F11">
        <w:t xml:space="preserve">Quanto </w:t>
      </w:r>
      <w:r w:rsidR="00A417D2">
        <w:t>à</w:t>
      </w:r>
      <w:r w:rsidRPr="00E32F11">
        <w:t xml:space="preserve"> questão dos tipos de área </w:t>
      </w:r>
      <w:r w:rsidR="00A417D2">
        <w:t>protegida</w:t>
      </w:r>
      <w:r w:rsidRPr="00E32F11">
        <w:t>, observa-se uma correlação positiva ligeiramente mais forte entre o quilômetro quadrado de Terras In</w:t>
      </w:r>
      <w:bookmarkStart w:id="0" w:name="_GoBack"/>
      <w:bookmarkEnd w:id="0"/>
      <w:r w:rsidRPr="00E32F11">
        <w:t>dígenas e as ocorrências de queimadas no ano de 2014 (0,752) quando comparada com as correlações apresentadas para as queimadas com a Áreas de Proteção Ambiental, e as Unidades de Conservação (0,668 e 0,573, respectivamente). Este indicativo que permite a inferência de que as Áreas Indígenas estão mais suscetíveis à supressão de suas reservas florestais é ainda mais reforçado quando vai ao encontro da observação das correlações obtidas entre os tipos de áreas de reserva e o ICMS</w:t>
      </w:r>
      <w:r w:rsidR="00A417D2">
        <w:t>-V</w:t>
      </w:r>
      <w:r w:rsidRPr="00E32F11">
        <w:t xml:space="preserve"> para os municípios: A correlação para as Terras Indígenas (0,392) é ligeiramente menor do que as demais apresentadas para as APA e UC (0,447 e 0,421, respectivamente), ainda que estas correlações não tenham um grau tão significativo em seus coeficientes</w:t>
      </w:r>
      <w:r w:rsidR="00A417D2">
        <w:t xml:space="preserve"> (Quadro 1)</w:t>
      </w:r>
      <w:r w:rsidRPr="00E32F11">
        <w:t>.</w:t>
      </w:r>
    </w:p>
    <w:p w:rsidR="00C60406" w:rsidRDefault="00C60406"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Pr="00E32F11" w:rsidRDefault="0078321F" w:rsidP="005E7163">
      <w:pPr>
        <w:autoSpaceDE w:val="0"/>
        <w:autoSpaceDN w:val="0"/>
        <w:adjustRightInd w:val="0"/>
        <w:spacing w:line="360" w:lineRule="auto"/>
        <w:jc w:val="both"/>
        <w:rPr>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33"/>
        <w:gridCol w:w="1473"/>
        <w:gridCol w:w="767"/>
        <w:gridCol w:w="878"/>
        <w:gridCol w:w="847"/>
        <w:gridCol w:w="909"/>
        <w:gridCol w:w="969"/>
        <w:gridCol w:w="666"/>
        <w:gridCol w:w="666"/>
        <w:gridCol w:w="664"/>
      </w:tblGrid>
      <w:tr w:rsidR="00E32F11" w:rsidRPr="00E32F11" w:rsidTr="00E32F11">
        <w:trPr>
          <w:cantSplit/>
        </w:trPr>
        <w:tc>
          <w:tcPr>
            <w:tcW w:w="5000" w:type="pct"/>
            <w:gridSpan w:val="10"/>
            <w:tcBorders>
              <w:top w:val="nil"/>
              <w:left w:val="nil"/>
              <w:bottom w:val="nil"/>
              <w:right w:val="nil"/>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rPr>
            </w:pPr>
            <w:r w:rsidRPr="00E32F11">
              <w:rPr>
                <w:bCs/>
                <w:color w:val="000000"/>
              </w:rPr>
              <w:t>QUADRO 1 - CORRELAÇÕES</w:t>
            </w:r>
          </w:p>
        </w:tc>
      </w:tr>
      <w:tr w:rsidR="00E32F11" w:rsidRPr="00E32F11" w:rsidTr="00E32F11">
        <w:trPr>
          <w:cantSplit/>
        </w:trPr>
        <w:tc>
          <w:tcPr>
            <w:tcW w:w="1491" w:type="pct"/>
            <w:gridSpan w:val="2"/>
            <w:tcBorders>
              <w:top w:val="single" w:sz="16" w:space="0" w:color="000000"/>
              <w:left w:val="single" w:sz="16" w:space="0" w:color="000000"/>
              <w:bottom w:val="single" w:sz="16" w:space="0" w:color="000000"/>
              <w:right w:val="nil"/>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sz w:val="18"/>
                <w:szCs w:val="18"/>
              </w:rPr>
            </w:pPr>
          </w:p>
        </w:tc>
        <w:tc>
          <w:tcPr>
            <w:tcW w:w="423" w:type="pct"/>
            <w:tcBorders>
              <w:top w:val="single" w:sz="16" w:space="0" w:color="000000"/>
              <w:left w:val="single" w:sz="16" w:space="0" w:color="000000"/>
              <w:bottom w:val="single" w:sz="16" w:space="0" w:color="000000"/>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proofErr w:type="gramStart"/>
            <w:r w:rsidRPr="00E32F11">
              <w:rPr>
                <w:color w:val="000000"/>
                <w:sz w:val="18"/>
                <w:szCs w:val="18"/>
              </w:rPr>
              <w:t>icms</w:t>
            </w:r>
            <w:proofErr w:type="spellEnd"/>
            <w:proofErr w:type="gramEnd"/>
            <w:r w:rsidRPr="00E32F11">
              <w:rPr>
                <w:color w:val="000000"/>
                <w:sz w:val="18"/>
                <w:szCs w:val="18"/>
              </w:rPr>
              <w:t xml:space="preserve"> 2014</w:t>
            </w:r>
          </w:p>
        </w:tc>
        <w:tc>
          <w:tcPr>
            <w:tcW w:w="484" w:type="pct"/>
            <w:tcBorders>
              <w:top w:val="single" w:sz="16" w:space="0" w:color="000000"/>
              <w:bottom w:val="single" w:sz="16" w:space="0" w:color="000000"/>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proofErr w:type="gramStart"/>
            <w:r w:rsidRPr="00E32F11">
              <w:rPr>
                <w:color w:val="000000"/>
                <w:sz w:val="18"/>
                <w:szCs w:val="18"/>
              </w:rPr>
              <w:t>qiueim</w:t>
            </w:r>
            <w:proofErr w:type="spellEnd"/>
            <w:proofErr w:type="gramEnd"/>
            <w:r w:rsidRPr="00E32F11">
              <w:rPr>
                <w:color w:val="000000"/>
                <w:sz w:val="18"/>
                <w:szCs w:val="18"/>
              </w:rPr>
              <w:t xml:space="preserve"> 2013</w:t>
            </w:r>
          </w:p>
        </w:tc>
        <w:tc>
          <w:tcPr>
            <w:tcW w:w="467" w:type="pct"/>
            <w:tcBorders>
              <w:top w:val="single" w:sz="16" w:space="0" w:color="000000"/>
              <w:bottom w:val="single" w:sz="16" w:space="0" w:color="000000"/>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proofErr w:type="gramStart"/>
            <w:r w:rsidRPr="00E32F11">
              <w:rPr>
                <w:color w:val="000000"/>
                <w:sz w:val="18"/>
                <w:szCs w:val="18"/>
              </w:rPr>
              <w:t>queim</w:t>
            </w:r>
            <w:proofErr w:type="spellEnd"/>
            <w:proofErr w:type="gramEnd"/>
            <w:r w:rsidRPr="00E32F11">
              <w:rPr>
                <w:color w:val="000000"/>
                <w:sz w:val="18"/>
                <w:szCs w:val="18"/>
              </w:rPr>
              <w:t xml:space="preserve"> 2014</w:t>
            </w:r>
          </w:p>
        </w:tc>
        <w:tc>
          <w:tcPr>
            <w:tcW w:w="501" w:type="pct"/>
            <w:tcBorders>
              <w:top w:val="single" w:sz="16" w:space="0" w:color="000000"/>
              <w:bottom w:val="single" w:sz="16" w:space="0" w:color="000000"/>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 xml:space="preserve">% </w:t>
            </w:r>
            <w:proofErr w:type="spellStart"/>
            <w:r w:rsidRPr="00E32F11">
              <w:rPr>
                <w:color w:val="000000"/>
                <w:sz w:val="18"/>
                <w:szCs w:val="18"/>
              </w:rPr>
              <w:t>icms</w:t>
            </w:r>
            <w:proofErr w:type="spellEnd"/>
            <w:r w:rsidRPr="00E32F11">
              <w:rPr>
                <w:color w:val="000000"/>
                <w:sz w:val="18"/>
                <w:szCs w:val="18"/>
              </w:rPr>
              <w:t xml:space="preserve"> 2014</w:t>
            </w:r>
          </w:p>
        </w:tc>
        <w:tc>
          <w:tcPr>
            <w:tcW w:w="534" w:type="pct"/>
            <w:tcBorders>
              <w:top w:val="single" w:sz="16" w:space="0" w:color="000000"/>
              <w:bottom w:val="single" w:sz="16" w:space="0" w:color="000000"/>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ICMS VERDE 2014</w:t>
            </w:r>
          </w:p>
        </w:tc>
        <w:tc>
          <w:tcPr>
            <w:tcW w:w="367" w:type="pct"/>
            <w:tcBorders>
              <w:top w:val="single" w:sz="16" w:space="0" w:color="000000"/>
              <w:bottom w:val="single" w:sz="16" w:space="0" w:color="000000"/>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AP km2</w:t>
            </w:r>
          </w:p>
        </w:tc>
        <w:tc>
          <w:tcPr>
            <w:tcW w:w="367" w:type="pct"/>
            <w:tcBorders>
              <w:top w:val="single" w:sz="16" w:space="0" w:color="000000"/>
              <w:bottom w:val="single" w:sz="16" w:space="0" w:color="000000"/>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UC km2</w:t>
            </w:r>
          </w:p>
        </w:tc>
        <w:tc>
          <w:tcPr>
            <w:tcW w:w="367" w:type="pct"/>
            <w:tcBorders>
              <w:top w:val="single" w:sz="16" w:space="0" w:color="000000"/>
              <w:bottom w:val="single" w:sz="16" w:space="0" w:color="000000"/>
              <w:right w:val="single" w:sz="16" w:space="0" w:color="000000"/>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TI km2</w:t>
            </w:r>
          </w:p>
        </w:tc>
      </w:tr>
      <w:tr w:rsidR="00E32F11" w:rsidRPr="00E32F11" w:rsidTr="00E32F11">
        <w:trPr>
          <w:cantSplit/>
        </w:trPr>
        <w:tc>
          <w:tcPr>
            <w:tcW w:w="679" w:type="pct"/>
            <w:vMerge w:val="restart"/>
            <w:tcBorders>
              <w:top w:val="single" w:sz="16" w:space="0" w:color="000000"/>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proofErr w:type="gramStart"/>
            <w:r w:rsidRPr="00E32F11">
              <w:rPr>
                <w:color w:val="000000"/>
                <w:sz w:val="18"/>
                <w:szCs w:val="18"/>
              </w:rPr>
              <w:t>icms</w:t>
            </w:r>
            <w:proofErr w:type="spellEnd"/>
            <w:proofErr w:type="gramEnd"/>
            <w:r w:rsidRPr="00E32F11">
              <w:rPr>
                <w:color w:val="000000"/>
                <w:sz w:val="18"/>
                <w:szCs w:val="18"/>
              </w:rPr>
              <w:t xml:space="preserve"> 2014</w:t>
            </w:r>
          </w:p>
        </w:tc>
        <w:tc>
          <w:tcPr>
            <w:tcW w:w="812" w:type="pct"/>
            <w:tcBorders>
              <w:top w:val="single" w:sz="16" w:space="0" w:color="000000"/>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Correlação de Pearson</w:t>
            </w:r>
          </w:p>
        </w:tc>
        <w:tc>
          <w:tcPr>
            <w:tcW w:w="423" w:type="pct"/>
            <w:tcBorders>
              <w:top w:val="single" w:sz="16" w:space="0" w:color="000000"/>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w:t>
            </w:r>
          </w:p>
        </w:tc>
        <w:tc>
          <w:tcPr>
            <w:tcW w:w="484" w:type="pct"/>
            <w:tcBorders>
              <w:top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-,018</w:t>
            </w:r>
          </w:p>
        </w:tc>
        <w:tc>
          <w:tcPr>
            <w:tcW w:w="467" w:type="pct"/>
            <w:tcBorders>
              <w:top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,032</w:t>
            </w:r>
          </w:p>
        </w:tc>
        <w:tc>
          <w:tcPr>
            <w:tcW w:w="501" w:type="pct"/>
            <w:tcBorders>
              <w:top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-,298</w:t>
            </w:r>
            <w:r w:rsidRPr="00E32F11">
              <w:rPr>
                <w:color w:val="000000"/>
                <w:sz w:val="18"/>
                <w:szCs w:val="18"/>
                <w:vertAlign w:val="superscript"/>
              </w:rPr>
              <w:t>**</w:t>
            </w:r>
          </w:p>
        </w:tc>
        <w:tc>
          <w:tcPr>
            <w:tcW w:w="534" w:type="pct"/>
            <w:tcBorders>
              <w:top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,105</w:t>
            </w:r>
          </w:p>
        </w:tc>
        <w:tc>
          <w:tcPr>
            <w:tcW w:w="367" w:type="pct"/>
            <w:tcBorders>
              <w:top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,054</w:t>
            </w:r>
          </w:p>
        </w:tc>
        <w:tc>
          <w:tcPr>
            <w:tcW w:w="367" w:type="pct"/>
            <w:tcBorders>
              <w:top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,051</w:t>
            </w:r>
          </w:p>
        </w:tc>
        <w:tc>
          <w:tcPr>
            <w:tcW w:w="367" w:type="pct"/>
            <w:tcBorders>
              <w:top w:val="single" w:sz="16" w:space="0" w:color="000000"/>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,009</w:t>
            </w:r>
          </w:p>
        </w:tc>
      </w:tr>
      <w:tr w:rsidR="00E32F11" w:rsidRPr="00E32F11" w:rsidTr="00E32F11">
        <w:trPr>
          <w:cantSplit/>
        </w:trPr>
        <w:tc>
          <w:tcPr>
            <w:tcW w:w="679" w:type="pct"/>
            <w:vMerge/>
            <w:tcBorders>
              <w:top w:val="single" w:sz="16" w:space="0" w:color="000000"/>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r w:rsidRPr="00E32F11">
              <w:rPr>
                <w:color w:val="000000"/>
                <w:sz w:val="18"/>
                <w:szCs w:val="18"/>
              </w:rPr>
              <w:t>Sig</w:t>
            </w:r>
            <w:proofErr w:type="spellEnd"/>
            <w:r w:rsidRPr="00E32F11">
              <w:rPr>
                <w:color w:val="000000"/>
                <w:sz w:val="18"/>
                <w:szCs w:val="18"/>
              </w:rPr>
              <w:t>. (2 extremidades)</w:t>
            </w:r>
          </w:p>
        </w:tc>
        <w:tc>
          <w:tcPr>
            <w:tcW w:w="423" w:type="pct"/>
            <w:tcBorders>
              <w:top w:val="nil"/>
              <w:left w:val="single" w:sz="16" w:space="0" w:color="000000"/>
              <w:bottom w:val="nil"/>
            </w:tcBorders>
            <w:shd w:val="clear" w:color="auto" w:fill="FFFFFF"/>
          </w:tcPr>
          <w:p w:rsidR="00E32F11" w:rsidRPr="00E32F11" w:rsidRDefault="00E32F11" w:rsidP="005E7163">
            <w:pPr>
              <w:autoSpaceDE w:val="0"/>
              <w:autoSpaceDN w:val="0"/>
              <w:adjustRightInd w:val="0"/>
              <w:jc w:val="both"/>
            </w:pP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,831</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,702</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,210</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,519</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,543</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,955</w:t>
            </w:r>
          </w:p>
        </w:tc>
      </w:tr>
      <w:tr w:rsidR="00E32F11" w:rsidRPr="00E32F11" w:rsidTr="00E32F11">
        <w:trPr>
          <w:cantSplit/>
        </w:trPr>
        <w:tc>
          <w:tcPr>
            <w:tcW w:w="679" w:type="pct"/>
            <w:vMerge/>
            <w:tcBorders>
              <w:top w:val="single" w:sz="16" w:space="0" w:color="000000"/>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141</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r>
      <w:tr w:rsidR="00E32F11" w:rsidRPr="00E32F11" w:rsidTr="00E32F11">
        <w:trPr>
          <w:cantSplit/>
        </w:trPr>
        <w:tc>
          <w:tcPr>
            <w:tcW w:w="679" w:type="pct"/>
            <w:vMerge w:val="restart"/>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proofErr w:type="gramStart"/>
            <w:r w:rsidRPr="00E32F11">
              <w:rPr>
                <w:color w:val="000000"/>
                <w:sz w:val="18"/>
                <w:szCs w:val="18"/>
              </w:rPr>
              <w:t>qiueim</w:t>
            </w:r>
            <w:proofErr w:type="spellEnd"/>
            <w:proofErr w:type="gramEnd"/>
            <w:r w:rsidRPr="00E32F11">
              <w:rPr>
                <w:color w:val="000000"/>
                <w:sz w:val="18"/>
                <w:szCs w:val="18"/>
              </w:rPr>
              <w:t xml:space="preserve"> 2013</w:t>
            </w: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Correlação de Pearson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-,018</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,997</w:t>
            </w:r>
            <w:r w:rsidRPr="00E32F11">
              <w:rPr>
                <w:color w:val="000000"/>
                <w:sz w:val="18"/>
                <w:szCs w:val="18"/>
                <w:vertAlign w:val="superscript"/>
              </w:rPr>
              <w:t>**</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-,138</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,996</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,453</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,423</w:t>
            </w:r>
            <w:r w:rsidRPr="00E32F11">
              <w:rPr>
                <w:color w:val="000000"/>
                <w:sz w:val="18"/>
                <w:szCs w:val="18"/>
                <w:vertAlign w:val="superscript"/>
              </w:rPr>
              <w:t>**</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,429</w:t>
            </w:r>
            <w:r w:rsidRPr="00E32F11">
              <w:rPr>
                <w:color w:val="000000"/>
                <w:sz w:val="18"/>
                <w:szCs w:val="18"/>
                <w:vertAlign w:val="superscript"/>
              </w:rPr>
              <w:t>**</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r w:rsidRPr="00E32F11">
              <w:rPr>
                <w:color w:val="000000"/>
                <w:sz w:val="18"/>
                <w:szCs w:val="18"/>
              </w:rPr>
              <w:t>Sig</w:t>
            </w:r>
            <w:proofErr w:type="spellEnd"/>
            <w:r w:rsidRPr="00E32F11">
              <w:rPr>
                <w:color w:val="000000"/>
                <w:sz w:val="18"/>
                <w:szCs w:val="18"/>
              </w:rPr>
              <w:t>. (2 extremidades)</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,831</w:t>
            </w:r>
          </w:p>
        </w:tc>
        <w:tc>
          <w:tcPr>
            <w:tcW w:w="484" w:type="pct"/>
            <w:tcBorders>
              <w:top w:val="nil"/>
              <w:bottom w:val="nil"/>
            </w:tcBorders>
            <w:shd w:val="clear" w:color="auto" w:fill="FFFFFF"/>
          </w:tcPr>
          <w:p w:rsidR="00E32F11" w:rsidRPr="00E32F11" w:rsidRDefault="00E32F11" w:rsidP="005E7163">
            <w:pPr>
              <w:autoSpaceDE w:val="0"/>
              <w:autoSpaceDN w:val="0"/>
              <w:adjustRightInd w:val="0"/>
              <w:jc w:val="both"/>
            </w:pP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,103</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,004</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141</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142</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142</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141</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142</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141</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141</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r>
      <w:tr w:rsidR="00E32F11" w:rsidRPr="00E32F11" w:rsidTr="00E32F11">
        <w:trPr>
          <w:cantSplit/>
        </w:trPr>
        <w:tc>
          <w:tcPr>
            <w:tcW w:w="679" w:type="pct"/>
            <w:vMerge w:val="restart"/>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proofErr w:type="gramStart"/>
            <w:r w:rsidRPr="00E32F11">
              <w:rPr>
                <w:color w:val="000000"/>
                <w:sz w:val="18"/>
                <w:szCs w:val="18"/>
              </w:rPr>
              <w:t>queim</w:t>
            </w:r>
            <w:proofErr w:type="spellEnd"/>
            <w:proofErr w:type="gramEnd"/>
            <w:r w:rsidRPr="00E32F11">
              <w:rPr>
                <w:color w:val="000000"/>
                <w:sz w:val="18"/>
                <w:szCs w:val="18"/>
              </w:rPr>
              <w:t xml:space="preserve"> 2014</w:t>
            </w: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Correlação de Pearson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,032</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,997</w:t>
            </w:r>
            <w:r w:rsidRPr="00E32F11">
              <w:rPr>
                <w:color w:val="000000"/>
                <w:sz w:val="18"/>
                <w:szCs w:val="18"/>
                <w:vertAlign w:val="superscript"/>
              </w:rPr>
              <w:t>**</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-,124</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,992</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,668</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,573</w:t>
            </w:r>
            <w:r w:rsidRPr="00E32F11">
              <w:rPr>
                <w:color w:val="000000"/>
                <w:sz w:val="18"/>
                <w:szCs w:val="18"/>
                <w:vertAlign w:val="superscript"/>
              </w:rPr>
              <w:t>**</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,752</w:t>
            </w:r>
            <w:r w:rsidRPr="00E32F11">
              <w:rPr>
                <w:color w:val="000000"/>
                <w:sz w:val="18"/>
                <w:szCs w:val="18"/>
                <w:vertAlign w:val="superscript"/>
              </w:rPr>
              <w:t>**</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r w:rsidRPr="00E32F11">
              <w:rPr>
                <w:color w:val="000000"/>
                <w:sz w:val="18"/>
                <w:szCs w:val="18"/>
              </w:rPr>
              <w:t>Sig</w:t>
            </w:r>
            <w:proofErr w:type="spellEnd"/>
            <w:r w:rsidRPr="00E32F11">
              <w:rPr>
                <w:color w:val="000000"/>
                <w:sz w:val="18"/>
                <w:szCs w:val="18"/>
              </w:rPr>
              <w:t>. (2 extremidades)</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,702</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467" w:type="pct"/>
            <w:tcBorders>
              <w:top w:val="nil"/>
              <w:bottom w:val="nil"/>
            </w:tcBorders>
            <w:shd w:val="clear" w:color="auto" w:fill="FFFFFF"/>
          </w:tcPr>
          <w:p w:rsidR="00E32F11" w:rsidRPr="00E32F11" w:rsidRDefault="00E32F11" w:rsidP="005E7163">
            <w:pPr>
              <w:autoSpaceDE w:val="0"/>
              <w:autoSpaceDN w:val="0"/>
              <w:adjustRightInd w:val="0"/>
              <w:jc w:val="both"/>
            </w:pP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,139</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142</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r>
      <w:tr w:rsidR="00E32F11" w:rsidRPr="00E32F11" w:rsidTr="00E32F11">
        <w:trPr>
          <w:cantSplit/>
        </w:trPr>
        <w:tc>
          <w:tcPr>
            <w:tcW w:w="679" w:type="pct"/>
            <w:vMerge w:val="restart"/>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 xml:space="preserve">% </w:t>
            </w:r>
            <w:proofErr w:type="spellStart"/>
            <w:r w:rsidRPr="00E32F11">
              <w:rPr>
                <w:color w:val="000000"/>
                <w:sz w:val="18"/>
                <w:szCs w:val="18"/>
              </w:rPr>
              <w:t>icms</w:t>
            </w:r>
            <w:proofErr w:type="spellEnd"/>
            <w:r w:rsidRPr="00E32F11">
              <w:rPr>
                <w:color w:val="000000"/>
                <w:sz w:val="18"/>
                <w:szCs w:val="18"/>
              </w:rPr>
              <w:t xml:space="preserve"> 2014</w:t>
            </w: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Correlação de Pearson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-,298</w:t>
            </w:r>
            <w:r w:rsidRPr="00E32F11">
              <w:rPr>
                <w:color w:val="000000"/>
                <w:sz w:val="18"/>
                <w:szCs w:val="18"/>
                <w:vertAlign w:val="superscript"/>
              </w:rPr>
              <w:t>**</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-,138</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-,124</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,483</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-,081</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-,088</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-,177</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r w:rsidRPr="00E32F11">
              <w:rPr>
                <w:color w:val="000000"/>
                <w:sz w:val="18"/>
                <w:szCs w:val="18"/>
              </w:rPr>
              <w:t>Sig</w:t>
            </w:r>
            <w:proofErr w:type="spellEnd"/>
            <w:r w:rsidRPr="00E32F11">
              <w:rPr>
                <w:color w:val="000000"/>
                <w:sz w:val="18"/>
                <w:szCs w:val="18"/>
              </w:rPr>
              <w:t>. (2 extremidades)</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,103</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,139</w:t>
            </w:r>
          </w:p>
        </w:tc>
        <w:tc>
          <w:tcPr>
            <w:tcW w:w="501" w:type="pct"/>
            <w:tcBorders>
              <w:top w:val="nil"/>
              <w:bottom w:val="nil"/>
            </w:tcBorders>
            <w:shd w:val="clear" w:color="auto" w:fill="FFFFFF"/>
          </w:tcPr>
          <w:p w:rsidR="00E32F11" w:rsidRPr="00E32F11" w:rsidRDefault="00E32F11" w:rsidP="005E7163">
            <w:pPr>
              <w:autoSpaceDE w:val="0"/>
              <w:autoSpaceDN w:val="0"/>
              <w:adjustRightInd w:val="0"/>
              <w:jc w:val="both"/>
            </w:pP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,337</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,294</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,256</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141</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r>
      <w:tr w:rsidR="00E32F11" w:rsidRPr="00E32F11" w:rsidTr="00E32F11">
        <w:trPr>
          <w:cantSplit/>
        </w:trPr>
        <w:tc>
          <w:tcPr>
            <w:tcW w:w="679" w:type="pct"/>
            <w:vMerge w:val="restart"/>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ICMS VERDE 2014</w:t>
            </w: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Correlação de Pearson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,105</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,996</w:t>
            </w:r>
            <w:r w:rsidRPr="00E32F11">
              <w:rPr>
                <w:color w:val="000000"/>
                <w:sz w:val="18"/>
                <w:szCs w:val="18"/>
                <w:vertAlign w:val="superscript"/>
              </w:rPr>
              <w:t>**</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,992</w:t>
            </w:r>
            <w:r w:rsidRPr="00E32F11">
              <w:rPr>
                <w:color w:val="000000"/>
                <w:sz w:val="18"/>
                <w:szCs w:val="18"/>
                <w:vertAlign w:val="superscript"/>
              </w:rPr>
              <w:t>**</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,483</w:t>
            </w:r>
            <w:r w:rsidRPr="00E32F11">
              <w:rPr>
                <w:color w:val="000000"/>
                <w:sz w:val="18"/>
                <w:szCs w:val="18"/>
                <w:vertAlign w:val="superscript"/>
              </w:rPr>
              <w:t>**</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,447</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,421</w:t>
            </w:r>
            <w:r w:rsidRPr="00E32F11">
              <w:rPr>
                <w:color w:val="000000"/>
                <w:sz w:val="18"/>
                <w:szCs w:val="18"/>
                <w:vertAlign w:val="superscript"/>
              </w:rPr>
              <w:t>**</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,392</w:t>
            </w:r>
            <w:r w:rsidRPr="00E32F11">
              <w:rPr>
                <w:color w:val="000000"/>
                <w:sz w:val="18"/>
                <w:szCs w:val="18"/>
                <w:vertAlign w:val="superscript"/>
              </w:rPr>
              <w:t>**</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r w:rsidRPr="00E32F11">
              <w:rPr>
                <w:color w:val="000000"/>
                <w:sz w:val="18"/>
                <w:szCs w:val="18"/>
              </w:rPr>
              <w:t>Sig</w:t>
            </w:r>
            <w:proofErr w:type="spellEnd"/>
            <w:r w:rsidRPr="00E32F11">
              <w:rPr>
                <w:color w:val="000000"/>
                <w:sz w:val="18"/>
                <w:szCs w:val="18"/>
              </w:rPr>
              <w:t>. (2 extremidades)</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,210</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534" w:type="pct"/>
            <w:tcBorders>
              <w:top w:val="nil"/>
              <w:bottom w:val="nil"/>
            </w:tcBorders>
            <w:shd w:val="clear" w:color="auto" w:fill="FFFFFF"/>
          </w:tcPr>
          <w:p w:rsidR="00E32F11" w:rsidRPr="00E32F11" w:rsidRDefault="00E32F11" w:rsidP="005E7163">
            <w:pPr>
              <w:autoSpaceDE w:val="0"/>
              <w:autoSpaceDN w:val="0"/>
              <w:adjustRightInd w:val="0"/>
              <w:jc w:val="both"/>
            </w:pP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,009</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142</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144</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145</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r>
      <w:tr w:rsidR="00E32F11" w:rsidRPr="00E32F11" w:rsidTr="00E32F11">
        <w:trPr>
          <w:cantSplit/>
        </w:trPr>
        <w:tc>
          <w:tcPr>
            <w:tcW w:w="679" w:type="pct"/>
            <w:vMerge w:val="restart"/>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AP km2</w:t>
            </w: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Correlação de Pearson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,054</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,453</w:t>
            </w:r>
            <w:r w:rsidRPr="00E32F11">
              <w:rPr>
                <w:color w:val="000000"/>
                <w:sz w:val="18"/>
                <w:szCs w:val="18"/>
                <w:vertAlign w:val="superscript"/>
              </w:rPr>
              <w:t>**</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,668</w:t>
            </w:r>
            <w:r w:rsidRPr="00E32F11">
              <w:rPr>
                <w:color w:val="000000"/>
                <w:sz w:val="18"/>
                <w:szCs w:val="18"/>
                <w:vertAlign w:val="superscript"/>
              </w:rPr>
              <w:t>**</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-,081</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,447</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,936</w:t>
            </w:r>
            <w:r w:rsidRPr="00E32F11">
              <w:rPr>
                <w:color w:val="000000"/>
                <w:sz w:val="18"/>
                <w:szCs w:val="18"/>
                <w:vertAlign w:val="superscript"/>
              </w:rPr>
              <w:t>**</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,924</w:t>
            </w:r>
            <w:r w:rsidRPr="00E32F11">
              <w:rPr>
                <w:color w:val="000000"/>
                <w:sz w:val="18"/>
                <w:szCs w:val="18"/>
                <w:vertAlign w:val="superscript"/>
              </w:rPr>
              <w:t>**</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r w:rsidRPr="00E32F11">
              <w:rPr>
                <w:color w:val="000000"/>
                <w:sz w:val="18"/>
                <w:szCs w:val="18"/>
              </w:rPr>
              <w:t>Sig</w:t>
            </w:r>
            <w:proofErr w:type="spellEnd"/>
            <w:r w:rsidRPr="00E32F11">
              <w:rPr>
                <w:color w:val="000000"/>
                <w:sz w:val="18"/>
                <w:szCs w:val="18"/>
              </w:rPr>
              <w:t>. (2 extremidades)</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,519</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,337</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tcBorders>
            <w:shd w:val="clear" w:color="auto" w:fill="FFFFFF"/>
          </w:tcPr>
          <w:p w:rsidR="00E32F11" w:rsidRPr="00E32F11" w:rsidRDefault="00E32F11" w:rsidP="005E7163">
            <w:pPr>
              <w:autoSpaceDE w:val="0"/>
              <w:autoSpaceDN w:val="0"/>
              <w:adjustRightInd w:val="0"/>
              <w:jc w:val="both"/>
            </w:pP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141</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r>
      <w:tr w:rsidR="00E32F11" w:rsidRPr="00E32F11" w:rsidTr="00E32F11">
        <w:trPr>
          <w:cantSplit/>
        </w:trPr>
        <w:tc>
          <w:tcPr>
            <w:tcW w:w="679" w:type="pct"/>
            <w:vMerge w:val="restart"/>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UC km2</w:t>
            </w: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Correlação de Pearson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,051</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,423</w:t>
            </w:r>
            <w:r w:rsidRPr="00E32F11">
              <w:rPr>
                <w:color w:val="000000"/>
                <w:sz w:val="18"/>
                <w:szCs w:val="18"/>
                <w:vertAlign w:val="superscript"/>
              </w:rPr>
              <w:t>**</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,573</w:t>
            </w:r>
            <w:r w:rsidRPr="00E32F11">
              <w:rPr>
                <w:color w:val="000000"/>
                <w:sz w:val="18"/>
                <w:szCs w:val="18"/>
                <w:vertAlign w:val="superscript"/>
              </w:rPr>
              <w:t>**</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-,088</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,421</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,936</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,726</w:t>
            </w:r>
            <w:r w:rsidRPr="00E32F11">
              <w:rPr>
                <w:color w:val="000000"/>
                <w:sz w:val="18"/>
                <w:szCs w:val="18"/>
                <w:vertAlign w:val="superscript"/>
              </w:rPr>
              <w:t>**</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r w:rsidRPr="00E32F11">
              <w:rPr>
                <w:color w:val="000000"/>
                <w:sz w:val="18"/>
                <w:szCs w:val="18"/>
              </w:rPr>
              <w:t>Sig</w:t>
            </w:r>
            <w:proofErr w:type="spellEnd"/>
            <w:r w:rsidRPr="00E32F11">
              <w:rPr>
                <w:color w:val="000000"/>
                <w:sz w:val="18"/>
                <w:szCs w:val="18"/>
              </w:rPr>
              <w:t>. (2 extremidades)</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,543</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,294</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tcBorders>
            <w:shd w:val="clear" w:color="auto" w:fill="FFFFFF"/>
          </w:tcPr>
          <w:p w:rsidR="00E32F11" w:rsidRPr="00E32F11" w:rsidRDefault="00E32F11" w:rsidP="005E7163">
            <w:pPr>
              <w:autoSpaceDE w:val="0"/>
              <w:autoSpaceDN w:val="0"/>
              <w:adjustRightInd w:val="0"/>
              <w:jc w:val="both"/>
            </w:pP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r>
      <w:tr w:rsidR="00E32F11" w:rsidRPr="00E32F11" w:rsidTr="00E32F11">
        <w:trPr>
          <w:cantSplit/>
        </w:trPr>
        <w:tc>
          <w:tcPr>
            <w:tcW w:w="679" w:type="pct"/>
            <w:vMerge/>
            <w:tcBorders>
              <w:top w:val="nil"/>
              <w:left w:val="single" w:sz="16" w:space="0" w:color="000000"/>
              <w:bottom w:val="nil"/>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141</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143</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r>
      <w:tr w:rsidR="00E32F11" w:rsidRPr="00E32F11" w:rsidTr="00E32F11">
        <w:trPr>
          <w:cantSplit/>
        </w:trPr>
        <w:tc>
          <w:tcPr>
            <w:tcW w:w="679" w:type="pct"/>
            <w:vMerge w:val="restart"/>
            <w:tcBorders>
              <w:top w:val="nil"/>
              <w:left w:val="single" w:sz="16" w:space="0" w:color="000000"/>
              <w:bottom w:val="single" w:sz="16" w:space="0" w:color="000000"/>
              <w:right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lastRenderedPageBreak/>
              <w:t>TI km2</w:t>
            </w: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Correlação de Pearson</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,009</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,429</w:t>
            </w:r>
            <w:r w:rsidRPr="00E32F11">
              <w:rPr>
                <w:color w:val="000000"/>
                <w:sz w:val="18"/>
                <w:szCs w:val="18"/>
                <w:vertAlign w:val="superscript"/>
              </w:rPr>
              <w:t>**</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,752</w:t>
            </w:r>
            <w:r w:rsidRPr="00E32F11">
              <w:rPr>
                <w:color w:val="000000"/>
                <w:sz w:val="18"/>
                <w:szCs w:val="18"/>
                <w:vertAlign w:val="superscript"/>
              </w:rPr>
              <w:t>**</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-,177</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,392</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,924</w:t>
            </w:r>
            <w:r w:rsidRPr="00E32F11">
              <w:rPr>
                <w:color w:val="000000"/>
                <w:sz w:val="18"/>
                <w:szCs w:val="18"/>
                <w:vertAlign w:val="superscript"/>
              </w:rPr>
              <w:t>**</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,726</w:t>
            </w:r>
            <w:r w:rsidRPr="00E32F11">
              <w:rPr>
                <w:color w:val="000000"/>
                <w:sz w:val="18"/>
                <w:szCs w:val="18"/>
                <w:vertAlign w:val="superscript"/>
              </w:rPr>
              <w:t>**</w:t>
            </w:r>
          </w:p>
        </w:tc>
        <w:tc>
          <w:tcPr>
            <w:tcW w:w="367" w:type="pct"/>
            <w:tcBorders>
              <w:top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1</w:t>
            </w:r>
          </w:p>
        </w:tc>
      </w:tr>
      <w:tr w:rsidR="00E32F11" w:rsidRPr="00E32F11" w:rsidTr="00E32F11">
        <w:trPr>
          <w:cantSplit/>
        </w:trPr>
        <w:tc>
          <w:tcPr>
            <w:tcW w:w="679" w:type="pct"/>
            <w:vMerge/>
            <w:tcBorders>
              <w:top w:val="nil"/>
              <w:left w:val="single" w:sz="16" w:space="0" w:color="000000"/>
              <w:bottom w:val="single" w:sz="16" w:space="0" w:color="000000"/>
              <w:right w:val="nil"/>
            </w:tcBorders>
            <w:shd w:val="clear" w:color="auto" w:fill="FFFFFF"/>
            <w:vAlign w:val="center"/>
          </w:tcPr>
          <w:p w:rsidR="00E32F11" w:rsidRPr="00E32F11" w:rsidRDefault="00E32F11" w:rsidP="005E7163">
            <w:pPr>
              <w:autoSpaceDE w:val="0"/>
              <w:autoSpaceDN w:val="0"/>
              <w:adjustRightInd w:val="0"/>
              <w:jc w:val="both"/>
              <w:rPr>
                <w:color w:val="000000"/>
                <w:sz w:val="18"/>
                <w:szCs w:val="18"/>
              </w:rPr>
            </w:pPr>
          </w:p>
        </w:tc>
        <w:tc>
          <w:tcPr>
            <w:tcW w:w="812" w:type="pct"/>
            <w:tcBorders>
              <w:top w:val="nil"/>
              <w:left w:val="nil"/>
              <w:bottom w:val="nil"/>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proofErr w:type="spellStart"/>
            <w:r w:rsidRPr="00E32F11">
              <w:rPr>
                <w:color w:val="000000"/>
                <w:sz w:val="18"/>
                <w:szCs w:val="18"/>
              </w:rPr>
              <w:t>Sig</w:t>
            </w:r>
            <w:proofErr w:type="spellEnd"/>
            <w:r w:rsidRPr="00E32F11">
              <w:rPr>
                <w:color w:val="000000"/>
                <w:sz w:val="18"/>
                <w:szCs w:val="18"/>
              </w:rPr>
              <w:t>. (2 extremidades)</w:t>
            </w:r>
          </w:p>
        </w:tc>
        <w:tc>
          <w:tcPr>
            <w:tcW w:w="423" w:type="pct"/>
            <w:tcBorders>
              <w:top w:val="nil"/>
              <w:left w:val="single" w:sz="16" w:space="0" w:color="000000"/>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,955</w:t>
            </w:r>
          </w:p>
        </w:tc>
        <w:tc>
          <w:tcPr>
            <w:tcW w:w="48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,004</w:t>
            </w:r>
          </w:p>
        </w:tc>
        <w:tc>
          <w:tcPr>
            <w:tcW w:w="4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501"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,256</w:t>
            </w:r>
          </w:p>
        </w:tc>
        <w:tc>
          <w:tcPr>
            <w:tcW w:w="534"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,009</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,000</w:t>
            </w:r>
          </w:p>
        </w:tc>
        <w:tc>
          <w:tcPr>
            <w:tcW w:w="367" w:type="pct"/>
            <w:tcBorders>
              <w:top w:val="nil"/>
              <w:bottom w:val="nil"/>
              <w:right w:val="single" w:sz="16" w:space="0" w:color="000000"/>
            </w:tcBorders>
            <w:shd w:val="clear" w:color="auto" w:fill="FFFFFF"/>
          </w:tcPr>
          <w:p w:rsidR="00E32F11" w:rsidRPr="00E32F11" w:rsidRDefault="00E32F11" w:rsidP="005E7163">
            <w:pPr>
              <w:autoSpaceDE w:val="0"/>
              <w:autoSpaceDN w:val="0"/>
              <w:adjustRightInd w:val="0"/>
              <w:jc w:val="both"/>
            </w:pPr>
          </w:p>
        </w:tc>
      </w:tr>
      <w:tr w:rsidR="00E32F11" w:rsidRPr="00E32F11" w:rsidTr="00E32F11">
        <w:trPr>
          <w:cantSplit/>
        </w:trPr>
        <w:tc>
          <w:tcPr>
            <w:tcW w:w="679" w:type="pct"/>
            <w:vMerge/>
            <w:tcBorders>
              <w:top w:val="nil"/>
              <w:left w:val="single" w:sz="16" w:space="0" w:color="000000"/>
              <w:bottom w:val="single" w:sz="16" w:space="0" w:color="000000"/>
              <w:right w:val="nil"/>
            </w:tcBorders>
            <w:shd w:val="clear" w:color="auto" w:fill="FFFFFF"/>
            <w:vAlign w:val="center"/>
          </w:tcPr>
          <w:p w:rsidR="00E32F11" w:rsidRPr="00E32F11" w:rsidRDefault="00E32F11" w:rsidP="005E7163">
            <w:pPr>
              <w:autoSpaceDE w:val="0"/>
              <w:autoSpaceDN w:val="0"/>
              <w:adjustRightInd w:val="0"/>
              <w:jc w:val="both"/>
            </w:pPr>
          </w:p>
        </w:tc>
        <w:tc>
          <w:tcPr>
            <w:tcW w:w="812" w:type="pct"/>
            <w:tcBorders>
              <w:top w:val="nil"/>
              <w:left w:val="nil"/>
              <w:bottom w:val="single" w:sz="16" w:space="0" w:color="000000"/>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N</w:t>
            </w:r>
          </w:p>
        </w:tc>
        <w:tc>
          <w:tcPr>
            <w:tcW w:w="423" w:type="pct"/>
            <w:tcBorders>
              <w:top w:val="nil"/>
              <w:left w:val="single" w:sz="16" w:space="0" w:color="000000"/>
              <w:bottom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c>
          <w:tcPr>
            <w:tcW w:w="484" w:type="pct"/>
            <w:tcBorders>
              <w:top w:val="nil"/>
              <w:bottom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c>
          <w:tcPr>
            <w:tcW w:w="467" w:type="pct"/>
            <w:tcBorders>
              <w:top w:val="nil"/>
              <w:bottom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c>
          <w:tcPr>
            <w:tcW w:w="501" w:type="pct"/>
            <w:tcBorders>
              <w:top w:val="nil"/>
              <w:bottom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c>
          <w:tcPr>
            <w:tcW w:w="534" w:type="pct"/>
            <w:tcBorders>
              <w:top w:val="nil"/>
              <w:bottom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c>
          <w:tcPr>
            <w:tcW w:w="367" w:type="pct"/>
            <w:tcBorders>
              <w:top w:val="nil"/>
              <w:bottom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c>
          <w:tcPr>
            <w:tcW w:w="367" w:type="pct"/>
            <w:tcBorders>
              <w:top w:val="nil"/>
              <w:bottom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c>
          <w:tcPr>
            <w:tcW w:w="367" w:type="pct"/>
            <w:tcBorders>
              <w:top w:val="nil"/>
              <w:bottom w:val="single" w:sz="16" w:space="0" w:color="000000"/>
              <w:right w:val="single" w:sz="16" w:space="0" w:color="000000"/>
            </w:tcBorders>
            <w:shd w:val="clear" w:color="auto" w:fill="FFFFFF"/>
            <w:vAlign w:val="center"/>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43</w:t>
            </w:r>
          </w:p>
        </w:tc>
      </w:tr>
      <w:tr w:rsidR="00E32F11" w:rsidRPr="00E32F11" w:rsidTr="00E32F11">
        <w:trPr>
          <w:cantSplit/>
        </w:trPr>
        <w:tc>
          <w:tcPr>
            <w:tcW w:w="5000" w:type="pct"/>
            <w:gridSpan w:val="10"/>
            <w:tcBorders>
              <w:top w:val="nil"/>
              <w:left w:val="nil"/>
              <w:bottom w:val="nil"/>
              <w:right w:val="nil"/>
            </w:tcBorders>
            <w:shd w:val="clear" w:color="auto" w:fill="FFFFFF"/>
          </w:tcPr>
          <w:p w:rsidR="00E32F11" w:rsidRPr="00E32F11" w:rsidRDefault="00E32F11" w:rsidP="005E7163">
            <w:pPr>
              <w:autoSpaceDE w:val="0"/>
              <w:autoSpaceDN w:val="0"/>
              <w:adjustRightInd w:val="0"/>
              <w:spacing w:line="320" w:lineRule="atLeast"/>
              <w:ind w:left="60" w:right="60"/>
              <w:jc w:val="both"/>
              <w:rPr>
                <w:color w:val="000000"/>
                <w:sz w:val="18"/>
                <w:szCs w:val="18"/>
              </w:rPr>
            </w:pPr>
            <w:r w:rsidRPr="00E32F11">
              <w:rPr>
                <w:color w:val="000000"/>
                <w:sz w:val="18"/>
                <w:szCs w:val="18"/>
              </w:rPr>
              <w:t>**. A correlação é significativa no nível 0,01 (2 extremidades).</w:t>
            </w:r>
          </w:p>
        </w:tc>
      </w:tr>
    </w:tbl>
    <w:p w:rsidR="00C60406" w:rsidRPr="00E32F11" w:rsidRDefault="00E32F11" w:rsidP="005E7163">
      <w:pPr>
        <w:autoSpaceDE w:val="0"/>
        <w:autoSpaceDN w:val="0"/>
        <w:adjustRightInd w:val="0"/>
        <w:spacing w:line="360" w:lineRule="auto"/>
        <w:jc w:val="both"/>
      </w:pPr>
      <w:r w:rsidRPr="00E32F11">
        <w:t xml:space="preserve">Fonte: </w:t>
      </w:r>
      <w:r>
        <w:t>Base dedados Programa Municípios Verdes</w:t>
      </w:r>
    </w:p>
    <w:p w:rsidR="00C60406" w:rsidRDefault="00C60406" w:rsidP="005E7163">
      <w:pPr>
        <w:autoSpaceDE w:val="0"/>
        <w:autoSpaceDN w:val="0"/>
        <w:adjustRightInd w:val="0"/>
        <w:spacing w:line="360" w:lineRule="auto"/>
        <w:jc w:val="both"/>
        <w:rPr>
          <w:b/>
        </w:rPr>
      </w:pPr>
    </w:p>
    <w:p w:rsidR="00DE79A0" w:rsidRPr="00896B14" w:rsidRDefault="00CA3E55" w:rsidP="0078321F">
      <w:pPr>
        <w:pStyle w:val="PargrafodaLista"/>
        <w:numPr>
          <w:ilvl w:val="0"/>
          <w:numId w:val="4"/>
        </w:numPr>
        <w:autoSpaceDE w:val="0"/>
        <w:autoSpaceDN w:val="0"/>
        <w:adjustRightInd w:val="0"/>
        <w:spacing w:line="240" w:lineRule="auto"/>
        <w:ind w:left="142" w:firstLine="0"/>
        <w:jc w:val="both"/>
        <w:rPr>
          <w:rFonts w:ascii="Times New Roman" w:hAnsi="Times New Roman"/>
          <w:b/>
          <w:sz w:val="24"/>
          <w:szCs w:val="24"/>
        </w:rPr>
      </w:pPr>
      <w:r w:rsidRPr="002E475B">
        <w:rPr>
          <w:rFonts w:ascii="Times New Roman" w:hAnsi="Times New Roman"/>
          <w:b/>
          <w:sz w:val="24"/>
          <w:szCs w:val="24"/>
        </w:rPr>
        <w:t>CONSIDERAÇÕES FINAIS</w:t>
      </w:r>
    </w:p>
    <w:p w:rsidR="00234553" w:rsidRPr="002E475B" w:rsidRDefault="00862742" w:rsidP="0078321F">
      <w:pPr>
        <w:autoSpaceDE w:val="0"/>
        <w:autoSpaceDN w:val="0"/>
        <w:adjustRightInd w:val="0"/>
        <w:jc w:val="both"/>
      </w:pPr>
      <w:r w:rsidRPr="002E475B">
        <w:t xml:space="preserve">As Unidades de Conservação, consideradas nessa pesquisa como base comum de recurso são </w:t>
      </w:r>
      <w:r w:rsidR="0078321F" w:rsidRPr="002E475B">
        <w:t>abundantes</w:t>
      </w:r>
      <w:r w:rsidRPr="002E475B">
        <w:t xml:space="preserve"> no Estado do Pará e estão presentes em cerca de 60% dos municípios.  </w:t>
      </w:r>
      <w:r w:rsidR="00234553" w:rsidRPr="002E475B">
        <w:t>Nesse contexto o ICMS-V assume o pressuposto de ser um incentivo fiscal para a preservação ambiental. Do ponto de vista contábil não é possível inferir quais os resultados e como se dá a aplicação desse recurso financeiro, haja vista a inexistência de um fundo de natureza contábil que possibilite a e</w:t>
      </w:r>
      <w:r w:rsidR="006D04C5" w:rsidRPr="002E475B">
        <w:t>missão de relatórios contábeis.</w:t>
      </w:r>
      <w:r w:rsidR="00234553" w:rsidRPr="002E475B">
        <w:t xml:space="preserve"> É importante salientar que a fonte de recurso ICMS-V é um imposto, sendo </w:t>
      </w:r>
      <w:r w:rsidR="006D04C5" w:rsidRPr="002E475B">
        <w:t>vetada a destinação específica dessa fonte</w:t>
      </w:r>
      <w:r w:rsidR="00234553" w:rsidRPr="002E475B">
        <w:t xml:space="preserve"> para a área ambiental.</w:t>
      </w:r>
    </w:p>
    <w:p w:rsidR="003178A2" w:rsidRPr="002E475B" w:rsidRDefault="006D04C5" w:rsidP="0078321F">
      <w:pPr>
        <w:autoSpaceDE w:val="0"/>
        <w:autoSpaceDN w:val="0"/>
        <w:adjustRightInd w:val="0"/>
        <w:jc w:val="both"/>
      </w:pPr>
      <w:r w:rsidRPr="002E475B">
        <w:t xml:space="preserve"> </w:t>
      </w:r>
      <w:r w:rsidR="003178A2" w:rsidRPr="002E475B">
        <w:t>Adicionalmente, o cálculo do índice de correlação de Pearson para o valor do ICMS-V de cada município no ano de 2014 em relação às outras variáveis revela uma situação intrigante: o comportamento de variação do valor total de ICMS-V arreca</w:t>
      </w:r>
      <w:r w:rsidR="0078321F">
        <w:t>da</w:t>
      </w:r>
      <w:r w:rsidR="003178A2" w:rsidRPr="002E475B">
        <w:t xml:space="preserve">do por cada município em 2014 está muito mais ligado e é diretamente proporcional à variação da extensão de áreas queimadas em preterimento ao das áreas de preservação que fundamentaram a instituição desse tributo. </w:t>
      </w:r>
    </w:p>
    <w:p w:rsidR="003178A2" w:rsidRPr="002E475B" w:rsidRDefault="003178A2" w:rsidP="0078321F">
      <w:pPr>
        <w:autoSpaceDE w:val="0"/>
        <w:autoSpaceDN w:val="0"/>
        <w:adjustRightInd w:val="0"/>
        <w:jc w:val="both"/>
      </w:pPr>
      <w:r w:rsidRPr="002E475B">
        <w:t>Os resultados preliminares apontam algumas limitações. É necessário que haja informações atualizadas e pesquisas futuras.</w:t>
      </w:r>
    </w:p>
    <w:p w:rsidR="00427015" w:rsidRDefault="00427015"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Default="0078321F" w:rsidP="005E7163">
      <w:pPr>
        <w:autoSpaceDE w:val="0"/>
        <w:autoSpaceDN w:val="0"/>
        <w:adjustRightInd w:val="0"/>
        <w:spacing w:line="360" w:lineRule="auto"/>
        <w:jc w:val="both"/>
        <w:rPr>
          <w:b/>
        </w:rPr>
      </w:pPr>
    </w:p>
    <w:p w:rsidR="0078321F" w:rsidRPr="002E475B" w:rsidRDefault="0078321F" w:rsidP="005E7163">
      <w:pPr>
        <w:autoSpaceDE w:val="0"/>
        <w:autoSpaceDN w:val="0"/>
        <w:adjustRightInd w:val="0"/>
        <w:spacing w:line="360" w:lineRule="auto"/>
        <w:jc w:val="both"/>
        <w:rPr>
          <w:b/>
        </w:rPr>
      </w:pPr>
    </w:p>
    <w:p w:rsidR="00781D78" w:rsidRPr="002E475B" w:rsidRDefault="00CA3E55" w:rsidP="00CA3E55">
      <w:pPr>
        <w:pStyle w:val="PargrafodaLista"/>
        <w:numPr>
          <w:ilvl w:val="0"/>
          <w:numId w:val="4"/>
        </w:numPr>
        <w:autoSpaceDE w:val="0"/>
        <w:autoSpaceDN w:val="0"/>
        <w:adjustRightInd w:val="0"/>
        <w:spacing w:line="360" w:lineRule="auto"/>
        <w:ind w:left="142" w:firstLine="0"/>
        <w:jc w:val="both"/>
        <w:rPr>
          <w:rFonts w:ascii="Times New Roman" w:hAnsi="Times New Roman"/>
          <w:b/>
          <w:sz w:val="24"/>
          <w:szCs w:val="24"/>
        </w:rPr>
      </w:pPr>
      <w:r w:rsidRPr="002E475B">
        <w:rPr>
          <w:rFonts w:ascii="Times New Roman" w:hAnsi="Times New Roman"/>
          <w:b/>
          <w:sz w:val="24"/>
          <w:szCs w:val="24"/>
        </w:rPr>
        <w:t>REFERÊNCIAS</w:t>
      </w:r>
    </w:p>
    <w:p w:rsidR="00167268" w:rsidRPr="002E475B" w:rsidRDefault="00167268" w:rsidP="00167268">
      <w:pPr>
        <w:suppressAutoHyphens/>
        <w:spacing w:after="283"/>
        <w:jc w:val="both"/>
        <w:rPr>
          <w:rFonts w:eastAsia="SimSun"/>
          <w:kern w:val="2"/>
          <w:lang w:eastAsia="ar-SA"/>
        </w:rPr>
      </w:pPr>
      <w:r w:rsidRPr="002E475B">
        <w:rPr>
          <w:rFonts w:eastAsia="SimSun"/>
          <w:kern w:val="2"/>
          <w:lang w:val="en-US" w:eastAsia="ar-SA"/>
        </w:rPr>
        <w:t xml:space="preserve">AGRAWAL, A. Forests, Governance, and Sustainability: common property theory and its contributions. </w:t>
      </w:r>
      <w:proofErr w:type="spellStart"/>
      <w:r w:rsidRPr="002E475B">
        <w:rPr>
          <w:rFonts w:eastAsia="SimSun"/>
          <w:kern w:val="2"/>
          <w:lang w:eastAsia="ar-SA"/>
        </w:rPr>
        <w:t>International</w:t>
      </w:r>
      <w:proofErr w:type="spellEnd"/>
      <w:r w:rsidRPr="002E475B">
        <w:rPr>
          <w:rFonts w:eastAsia="SimSun"/>
          <w:kern w:val="2"/>
          <w:lang w:eastAsia="ar-SA"/>
        </w:rPr>
        <w:t xml:space="preserve"> </w:t>
      </w:r>
      <w:proofErr w:type="spellStart"/>
      <w:r w:rsidRPr="002E475B">
        <w:rPr>
          <w:rFonts w:eastAsia="SimSun"/>
          <w:kern w:val="2"/>
          <w:lang w:eastAsia="ar-SA"/>
        </w:rPr>
        <w:t>Journal</w:t>
      </w:r>
      <w:proofErr w:type="spellEnd"/>
      <w:r w:rsidRPr="002E475B">
        <w:rPr>
          <w:rFonts w:eastAsia="SimSun"/>
          <w:kern w:val="2"/>
          <w:lang w:eastAsia="ar-SA"/>
        </w:rPr>
        <w:t xml:space="preserve"> </w:t>
      </w:r>
      <w:proofErr w:type="spellStart"/>
      <w:r w:rsidRPr="002E475B">
        <w:rPr>
          <w:rFonts w:eastAsia="SimSun"/>
          <w:kern w:val="2"/>
          <w:lang w:eastAsia="ar-SA"/>
        </w:rPr>
        <w:t>of</w:t>
      </w:r>
      <w:proofErr w:type="spellEnd"/>
      <w:r w:rsidRPr="002E475B">
        <w:rPr>
          <w:rFonts w:eastAsia="SimSun"/>
          <w:kern w:val="2"/>
          <w:lang w:eastAsia="ar-SA"/>
        </w:rPr>
        <w:t xml:space="preserve"> </w:t>
      </w:r>
      <w:proofErr w:type="spellStart"/>
      <w:r w:rsidRPr="002E475B">
        <w:rPr>
          <w:rFonts w:eastAsia="SimSun"/>
          <w:kern w:val="2"/>
          <w:lang w:eastAsia="ar-SA"/>
        </w:rPr>
        <w:t>the</w:t>
      </w:r>
      <w:proofErr w:type="spellEnd"/>
      <w:r w:rsidRPr="002E475B">
        <w:rPr>
          <w:rFonts w:eastAsia="SimSun"/>
          <w:kern w:val="2"/>
          <w:lang w:eastAsia="ar-SA"/>
        </w:rPr>
        <w:t xml:space="preserve"> </w:t>
      </w:r>
      <w:proofErr w:type="spellStart"/>
      <w:r w:rsidRPr="002E475B">
        <w:rPr>
          <w:rFonts w:eastAsia="SimSun"/>
          <w:kern w:val="2"/>
          <w:lang w:eastAsia="ar-SA"/>
        </w:rPr>
        <w:t>Commons</w:t>
      </w:r>
      <w:proofErr w:type="spellEnd"/>
      <w:r w:rsidRPr="002E475B">
        <w:rPr>
          <w:rFonts w:eastAsia="SimSun"/>
          <w:kern w:val="2"/>
          <w:lang w:eastAsia="ar-SA"/>
        </w:rPr>
        <w:t>, v. 1, n. 1, outubro, 2007. p. 111-136.</w:t>
      </w:r>
    </w:p>
    <w:p w:rsidR="00167268" w:rsidRPr="002E475B" w:rsidRDefault="00167268" w:rsidP="00167268">
      <w:pPr>
        <w:jc w:val="both"/>
      </w:pPr>
      <w:r w:rsidRPr="002E475B">
        <w:t xml:space="preserve">BORDALO, Carlos Alexandre Leão. Gestão Ambiental No Estado do Pará. In: ROHA, Gilberto de Miranda (org.). </w:t>
      </w:r>
      <w:r w:rsidRPr="002E475B">
        <w:rPr>
          <w:b/>
        </w:rPr>
        <w:t xml:space="preserve">Gestão Ambiental: </w:t>
      </w:r>
      <w:r w:rsidRPr="002E475B">
        <w:t>Desafios e Experiências Municipais no Estado do Pará. Belém: NUMA/UFPA, EDUFPA, 2007. p. 117 - 126.</w:t>
      </w:r>
    </w:p>
    <w:p w:rsidR="00167268" w:rsidRPr="002E475B" w:rsidRDefault="00167268" w:rsidP="00167268">
      <w:pPr>
        <w:suppressAutoHyphens/>
        <w:spacing w:after="283"/>
        <w:jc w:val="both"/>
        <w:rPr>
          <w:rFonts w:eastAsia="SimSun"/>
          <w:kern w:val="2"/>
          <w:lang w:eastAsia="ar-SA"/>
        </w:rPr>
      </w:pPr>
      <w:r w:rsidRPr="002E475B">
        <w:rPr>
          <w:rFonts w:eastAsia="SimSun"/>
          <w:kern w:val="2"/>
          <w:lang w:eastAsia="ar-SA"/>
        </w:rPr>
        <w:t>BRASIL. Lei nº 9.985, de 18 de Julho de 2000. Regulamenta o artigo 225, § 1º, incisos I, II, III e VII da Constituição Federal, institui 5o Sistema Nacional de Unidades de Conservação da Natureza e dá outras providências. Ministério do Meio Ambiente, Brasília. Disponível em</w:t>
      </w:r>
      <w:proofErr w:type="gramStart"/>
      <w:r w:rsidRPr="002E475B">
        <w:rPr>
          <w:rFonts w:eastAsia="SimSun"/>
          <w:kern w:val="2"/>
          <w:lang w:eastAsia="ar-SA"/>
        </w:rPr>
        <w:t>: .</w:t>
      </w:r>
      <w:proofErr w:type="gramEnd"/>
      <w:r w:rsidRPr="002E475B">
        <w:rPr>
          <w:rFonts w:eastAsia="SimSun"/>
          <w:kern w:val="2"/>
          <w:lang w:eastAsia="ar-SA"/>
        </w:rPr>
        <w:t xml:space="preserve"> Acesso em: </w:t>
      </w:r>
      <w:proofErr w:type="gramStart"/>
      <w:r w:rsidRPr="002E475B">
        <w:rPr>
          <w:rFonts w:eastAsia="SimSun"/>
          <w:kern w:val="2"/>
          <w:lang w:eastAsia="ar-SA"/>
        </w:rPr>
        <w:t>15  jun.</w:t>
      </w:r>
      <w:proofErr w:type="gramEnd"/>
      <w:r w:rsidRPr="002E475B">
        <w:rPr>
          <w:rFonts w:eastAsia="SimSun"/>
          <w:kern w:val="2"/>
          <w:lang w:eastAsia="ar-SA"/>
        </w:rPr>
        <w:t xml:space="preserve"> 2015.</w:t>
      </w:r>
    </w:p>
    <w:p w:rsidR="00167268" w:rsidRPr="002E475B" w:rsidRDefault="00167268" w:rsidP="00167268">
      <w:pPr>
        <w:tabs>
          <w:tab w:val="num" w:pos="720"/>
        </w:tabs>
        <w:jc w:val="both"/>
        <w:rPr>
          <w:rStyle w:val="CitaoHTML"/>
          <w:i w:val="0"/>
        </w:rPr>
      </w:pPr>
      <w:r w:rsidRPr="002E475B">
        <w:t xml:space="preserve">BRASIL. Constituição (1988). </w:t>
      </w:r>
      <w:r w:rsidRPr="002E475B">
        <w:rPr>
          <w:b/>
        </w:rPr>
        <w:t>Constituição da Republica Federativa do Brasil</w:t>
      </w:r>
      <w:r w:rsidRPr="002E475B">
        <w:t>. Disponível em: &lt;</w:t>
      </w:r>
      <w:r w:rsidRPr="002E475B">
        <w:rPr>
          <w:rStyle w:val="Refdenotaderodap"/>
        </w:rPr>
        <w:t xml:space="preserve"> </w:t>
      </w:r>
      <w:hyperlink r:id="rId9" w:history="1">
        <w:r w:rsidRPr="002E475B">
          <w:rPr>
            <w:rStyle w:val="Hyperlink"/>
            <w:color w:val="auto"/>
            <w:u w:val="none"/>
          </w:rPr>
          <w:t>www.planalto.gov.br/ccivil_03/</w:t>
        </w:r>
        <w:r w:rsidRPr="002E475B">
          <w:rPr>
            <w:rStyle w:val="Hyperlink"/>
            <w:b/>
            <w:bCs/>
            <w:color w:val="auto"/>
            <w:u w:val="none"/>
          </w:rPr>
          <w:t>constituicao</w:t>
        </w:r>
        <w:r w:rsidRPr="002E475B">
          <w:rPr>
            <w:rStyle w:val="Hyperlink"/>
            <w:color w:val="auto"/>
            <w:u w:val="none"/>
          </w:rPr>
          <w:t>/</w:t>
        </w:r>
        <w:r w:rsidRPr="002E475B">
          <w:rPr>
            <w:rStyle w:val="Hyperlink"/>
            <w:b/>
            <w:bCs/>
            <w:color w:val="auto"/>
            <w:u w:val="none"/>
          </w:rPr>
          <w:t>constituiçao</w:t>
        </w:r>
        <w:r w:rsidRPr="002E475B">
          <w:rPr>
            <w:rStyle w:val="Hyperlink"/>
            <w:color w:val="auto"/>
            <w:u w:val="none"/>
          </w:rPr>
          <w:t>.htm</w:t>
        </w:r>
      </w:hyperlink>
      <w:proofErr w:type="gramStart"/>
      <w:r w:rsidRPr="002E475B">
        <w:rPr>
          <w:rStyle w:val="CitaoHTML"/>
        </w:rPr>
        <w:t xml:space="preserve">&gt; </w:t>
      </w:r>
      <w:r w:rsidRPr="002E475B">
        <w:rPr>
          <w:rStyle w:val="CitaoHTML"/>
          <w:i w:val="0"/>
        </w:rPr>
        <w:t>.</w:t>
      </w:r>
      <w:proofErr w:type="gramEnd"/>
      <w:r w:rsidRPr="002E475B">
        <w:rPr>
          <w:rStyle w:val="CitaoHTML"/>
          <w:i w:val="0"/>
        </w:rPr>
        <w:t xml:space="preserve"> Acesso em: 12 out. 2009.</w:t>
      </w:r>
    </w:p>
    <w:p w:rsidR="00167268" w:rsidRPr="002E475B" w:rsidRDefault="00167268" w:rsidP="00167268">
      <w:pPr>
        <w:suppressAutoHyphens/>
        <w:spacing w:after="283"/>
        <w:jc w:val="both"/>
        <w:rPr>
          <w:rFonts w:eastAsia="SimSun"/>
          <w:kern w:val="2"/>
          <w:lang w:eastAsia="ar-SA"/>
        </w:rPr>
      </w:pPr>
      <w:r w:rsidRPr="002E475B">
        <w:rPr>
          <w:rFonts w:eastAsia="SimSun"/>
          <w:kern w:val="2"/>
          <w:lang w:eastAsia="ar-SA"/>
        </w:rPr>
        <w:t xml:space="preserve">DIEGUES, A. C. S. O Mito Moderno da Natureza Intocada. 3ª Ed. São Paulo: Editora </w:t>
      </w:r>
      <w:proofErr w:type="spellStart"/>
      <w:r w:rsidRPr="002E475B">
        <w:rPr>
          <w:rFonts w:eastAsia="SimSun"/>
          <w:kern w:val="2"/>
          <w:lang w:eastAsia="ar-SA"/>
        </w:rPr>
        <w:t>Hucitec</w:t>
      </w:r>
      <w:proofErr w:type="spellEnd"/>
      <w:r w:rsidRPr="002E475B">
        <w:rPr>
          <w:rFonts w:eastAsia="SimSun"/>
          <w:kern w:val="2"/>
          <w:lang w:eastAsia="ar-SA"/>
        </w:rPr>
        <w:t>, 2001.</w:t>
      </w:r>
    </w:p>
    <w:p w:rsidR="00167268" w:rsidRDefault="00167268" w:rsidP="00167268">
      <w:pPr>
        <w:jc w:val="both"/>
        <w:rPr>
          <w:rFonts w:eastAsia="SimSun"/>
          <w:kern w:val="2"/>
          <w:lang w:eastAsia="ar-SA"/>
        </w:rPr>
      </w:pPr>
      <w:r w:rsidRPr="002E475B">
        <w:rPr>
          <w:rFonts w:eastAsia="SimSun"/>
          <w:bCs/>
          <w:kern w:val="2"/>
          <w:lang w:eastAsia="ar-SA"/>
        </w:rPr>
        <w:t xml:space="preserve">FENZL, Norbert. Desenvolvimento Sustentável e a Agenda 21: Um Desafio para os Municípios da Amazônia. </w:t>
      </w:r>
      <w:r w:rsidRPr="002E475B">
        <w:rPr>
          <w:rFonts w:eastAsia="SimSun"/>
          <w:kern w:val="2"/>
          <w:lang w:eastAsia="ar-SA"/>
        </w:rPr>
        <w:t>In: ROHA, Gilberto de Miranda (org.). Gestão Ambiental: Desafios e Experiências Municipais no Estado do Pará. Belém: NUMA/UFPA, EDUFPA, 2007. p. 87-98.</w:t>
      </w:r>
    </w:p>
    <w:p w:rsidR="002E475B" w:rsidRPr="002E475B" w:rsidRDefault="002E475B" w:rsidP="00167268">
      <w:pPr>
        <w:jc w:val="both"/>
        <w:rPr>
          <w:rFonts w:eastAsia="SimSun"/>
          <w:kern w:val="2"/>
          <w:lang w:eastAsia="ar-SA"/>
        </w:rPr>
      </w:pPr>
    </w:p>
    <w:p w:rsidR="00167268" w:rsidRDefault="00167268" w:rsidP="00167268">
      <w:pPr>
        <w:jc w:val="both"/>
        <w:rPr>
          <w:rFonts w:eastAsia="SimSun"/>
          <w:kern w:val="2"/>
          <w:lang w:eastAsia="ar-SA"/>
        </w:rPr>
      </w:pPr>
      <w:proofErr w:type="spellStart"/>
      <w:r w:rsidRPr="002E475B">
        <w:rPr>
          <w:rFonts w:eastAsia="SimSun"/>
          <w:kern w:val="2"/>
          <w:lang w:eastAsia="ar-SA"/>
        </w:rPr>
        <w:t>FAO.Global</w:t>
      </w:r>
      <w:proofErr w:type="spellEnd"/>
      <w:r w:rsidRPr="002E475B">
        <w:rPr>
          <w:rFonts w:eastAsia="SimSun"/>
          <w:kern w:val="2"/>
          <w:lang w:eastAsia="ar-SA"/>
        </w:rPr>
        <w:t xml:space="preserve"> Forest </w:t>
      </w:r>
      <w:proofErr w:type="spellStart"/>
      <w:r w:rsidRPr="002E475B">
        <w:rPr>
          <w:rFonts w:eastAsia="SimSun"/>
          <w:kern w:val="2"/>
          <w:lang w:eastAsia="ar-SA"/>
        </w:rPr>
        <w:t>Resources</w:t>
      </w:r>
      <w:proofErr w:type="spellEnd"/>
      <w:r w:rsidRPr="002E475B">
        <w:rPr>
          <w:rFonts w:eastAsia="SimSun"/>
          <w:kern w:val="2"/>
          <w:lang w:eastAsia="ar-SA"/>
        </w:rPr>
        <w:t xml:space="preserve"> </w:t>
      </w:r>
      <w:proofErr w:type="spellStart"/>
      <w:r w:rsidRPr="002E475B">
        <w:rPr>
          <w:rFonts w:eastAsia="SimSun"/>
          <w:kern w:val="2"/>
          <w:lang w:eastAsia="ar-SA"/>
        </w:rPr>
        <w:t>Assessment</w:t>
      </w:r>
      <w:proofErr w:type="spellEnd"/>
      <w:r w:rsidRPr="002E475B">
        <w:rPr>
          <w:rFonts w:eastAsia="SimSun"/>
          <w:kern w:val="2"/>
          <w:lang w:eastAsia="ar-SA"/>
        </w:rPr>
        <w:t>(FRA2015). Disponível em:</w:t>
      </w:r>
      <w:hyperlink r:id="rId10" w:history="1">
        <w:r w:rsidRPr="002E475B">
          <w:rPr>
            <w:rStyle w:val="Hyperlink"/>
            <w:rFonts w:eastAsia="SimSun"/>
            <w:kern w:val="2"/>
            <w:lang w:eastAsia="ar-SA"/>
          </w:rPr>
          <w:t>http://www.fao.org/forest-resources-assessmet/current-assessment/en/</w:t>
        </w:r>
      </w:hyperlink>
      <w:r w:rsidRPr="002E475B">
        <w:rPr>
          <w:rFonts w:eastAsia="SimSun"/>
          <w:kern w:val="2"/>
          <w:lang w:eastAsia="ar-SA"/>
        </w:rPr>
        <w:t>.Acesso em 10jan.2017.</w:t>
      </w:r>
    </w:p>
    <w:p w:rsidR="002E475B" w:rsidRPr="002E475B" w:rsidRDefault="002E475B" w:rsidP="00167268">
      <w:pPr>
        <w:jc w:val="both"/>
        <w:rPr>
          <w:rFonts w:eastAsia="SimSun"/>
          <w:kern w:val="2"/>
          <w:lang w:eastAsia="ar-SA"/>
        </w:rPr>
      </w:pPr>
    </w:p>
    <w:p w:rsidR="00167268" w:rsidRPr="00DD3906" w:rsidRDefault="00167268" w:rsidP="00167268">
      <w:pPr>
        <w:spacing w:after="200" w:line="276" w:lineRule="auto"/>
        <w:jc w:val="both"/>
        <w:rPr>
          <w:rFonts w:eastAsia="SimSun"/>
          <w:kern w:val="2"/>
          <w:lang w:val="en-US" w:eastAsia="ar-SA"/>
        </w:rPr>
      </w:pPr>
      <w:proofErr w:type="spellStart"/>
      <w:proofErr w:type="gramStart"/>
      <w:r w:rsidRPr="002E475B">
        <w:rPr>
          <w:rFonts w:eastAsia="SimSun"/>
          <w:kern w:val="2"/>
          <w:lang w:eastAsia="ar-SA"/>
        </w:rPr>
        <w:t>McKEAN</w:t>
      </w:r>
      <w:proofErr w:type="spellEnd"/>
      <w:r w:rsidRPr="002E475B">
        <w:rPr>
          <w:rFonts w:eastAsia="SimSun"/>
          <w:kern w:val="2"/>
          <w:lang w:eastAsia="ar-SA"/>
        </w:rPr>
        <w:t>,  M.</w:t>
      </w:r>
      <w:proofErr w:type="gramEnd"/>
      <w:r w:rsidRPr="002E475B">
        <w:rPr>
          <w:rFonts w:eastAsia="SimSun"/>
          <w:kern w:val="2"/>
          <w:lang w:eastAsia="ar-SA"/>
        </w:rPr>
        <w:t xml:space="preserve"> A;  OSTROM,  E.  </w:t>
      </w:r>
      <w:proofErr w:type="gramStart"/>
      <w:r w:rsidRPr="002E475B">
        <w:rPr>
          <w:rFonts w:eastAsia="SimSun"/>
          <w:kern w:val="2"/>
          <w:lang w:eastAsia="ar-SA"/>
        </w:rPr>
        <w:t>Regimes  de</w:t>
      </w:r>
      <w:proofErr w:type="gramEnd"/>
      <w:r w:rsidRPr="002E475B">
        <w:rPr>
          <w:rFonts w:eastAsia="SimSun"/>
          <w:kern w:val="2"/>
          <w:lang w:eastAsia="ar-SA"/>
        </w:rPr>
        <w:t xml:space="preserve">  propriedade  comum  em  florestas: somente  uma  relíquia  do  passado?  In:  </w:t>
      </w:r>
      <w:proofErr w:type="gramStart"/>
      <w:r w:rsidRPr="002E475B">
        <w:rPr>
          <w:rFonts w:eastAsia="SimSun"/>
          <w:kern w:val="2"/>
          <w:lang w:eastAsia="ar-SA"/>
        </w:rPr>
        <w:t xml:space="preserve">DIEGUES,  </w:t>
      </w:r>
      <w:proofErr w:type="spellStart"/>
      <w:r w:rsidRPr="002E475B">
        <w:rPr>
          <w:rFonts w:eastAsia="SimSun"/>
          <w:kern w:val="2"/>
          <w:lang w:eastAsia="ar-SA"/>
        </w:rPr>
        <w:t>Antonio</w:t>
      </w:r>
      <w:proofErr w:type="spellEnd"/>
      <w:proofErr w:type="gramEnd"/>
      <w:r w:rsidRPr="002E475B">
        <w:rPr>
          <w:rFonts w:eastAsia="SimSun"/>
          <w:kern w:val="2"/>
          <w:lang w:eastAsia="ar-SA"/>
        </w:rPr>
        <w:t xml:space="preserve">  Carlos;  MOREIRA, André  de  Castro  C. Espaços  e  recursos  naturais  de  uso  comum.  </w:t>
      </w:r>
      <w:proofErr w:type="gramStart"/>
      <w:r w:rsidRPr="002E475B">
        <w:rPr>
          <w:rFonts w:eastAsia="SimSun"/>
          <w:kern w:val="2"/>
          <w:lang w:val="en-US" w:eastAsia="ar-SA"/>
        </w:rPr>
        <w:t>São  Paulo</w:t>
      </w:r>
      <w:proofErr w:type="gramEnd"/>
      <w:r w:rsidRPr="002E475B">
        <w:rPr>
          <w:rFonts w:eastAsia="SimSun"/>
          <w:kern w:val="2"/>
          <w:lang w:val="en-US" w:eastAsia="ar-SA"/>
        </w:rPr>
        <w:t xml:space="preserve">: </w:t>
      </w:r>
      <w:proofErr w:type="spellStart"/>
      <w:r w:rsidRPr="002E475B">
        <w:rPr>
          <w:rFonts w:eastAsia="SimSun"/>
          <w:kern w:val="2"/>
          <w:lang w:val="en-US" w:eastAsia="ar-SA"/>
        </w:rPr>
        <w:t>Napaub</w:t>
      </w:r>
      <w:proofErr w:type="spellEnd"/>
      <w:r w:rsidRPr="002E475B">
        <w:rPr>
          <w:rFonts w:eastAsia="SimSun"/>
          <w:kern w:val="2"/>
          <w:lang w:val="en-US" w:eastAsia="ar-SA"/>
        </w:rPr>
        <w:t>-USP, 2011</w:t>
      </w:r>
    </w:p>
    <w:p w:rsidR="00946564" w:rsidRPr="002E475B" w:rsidRDefault="00167268" w:rsidP="00167268">
      <w:pPr>
        <w:tabs>
          <w:tab w:val="num" w:pos="720"/>
        </w:tabs>
        <w:jc w:val="both"/>
      </w:pPr>
      <w:r w:rsidRPr="002E475B">
        <w:rPr>
          <w:rFonts w:eastAsia="SimSun"/>
          <w:kern w:val="2"/>
          <w:lang w:val="en-US" w:eastAsia="ar-SA"/>
        </w:rPr>
        <w:t>OSTROM, E. Governing the Commons: the evolution of institutions for collective action. Indiana University: University Press. Cambridge, 1990.</w:t>
      </w:r>
    </w:p>
    <w:sectPr w:rsidR="00946564" w:rsidRPr="002E475B" w:rsidSect="00573360">
      <w:footerReference w:type="even" r:id="rId11"/>
      <w:footerReference w:type="default" r:id="rId12"/>
      <w:pgSz w:w="11907" w:h="16840"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74F" w:rsidRDefault="0023074F">
      <w:r>
        <w:separator/>
      </w:r>
    </w:p>
  </w:endnote>
  <w:endnote w:type="continuationSeparator" w:id="0">
    <w:p w:rsidR="0023074F" w:rsidRDefault="0023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F53" w:rsidRDefault="00161F53" w:rsidP="002D693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61F53" w:rsidRDefault="00161F53" w:rsidP="002D693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F53" w:rsidRDefault="00161F53">
    <w:pPr>
      <w:pStyle w:val="Rodap"/>
      <w:jc w:val="right"/>
    </w:pPr>
    <w:r>
      <w:fldChar w:fldCharType="begin"/>
    </w:r>
    <w:r>
      <w:instrText>PAGE   \* MERGEFORMAT</w:instrText>
    </w:r>
    <w:r>
      <w:fldChar w:fldCharType="separate"/>
    </w:r>
    <w:r w:rsidR="00914320">
      <w:rPr>
        <w:noProof/>
      </w:rPr>
      <w:t>12</w:t>
    </w:r>
    <w:r>
      <w:fldChar w:fldCharType="end"/>
    </w:r>
  </w:p>
  <w:p w:rsidR="00161F53" w:rsidRDefault="00161F53" w:rsidP="002D6934">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74F" w:rsidRDefault="0023074F">
      <w:r>
        <w:separator/>
      </w:r>
    </w:p>
  </w:footnote>
  <w:footnote w:type="continuationSeparator" w:id="0">
    <w:p w:rsidR="0023074F" w:rsidRDefault="002307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C41F6"/>
    <w:multiLevelType w:val="hybridMultilevel"/>
    <w:tmpl w:val="5950B6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AD1144"/>
    <w:multiLevelType w:val="hybridMultilevel"/>
    <w:tmpl w:val="05E45234"/>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85C1310"/>
    <w:multiLevelType w:val="hybridMultilevel"/>
    <w:tmpl w:val="96BC29D4"/>
    <w:lvl w:ilvl="0" w:tplc="2A961C10">
      <w:start w:val="3"/>
      <w:numFmt w:val="bullet"/>
      <w:lvlText w:val=""/>
      <w:lvlJc w:val="left"/>
      <w:pPr>
        <w:ind w:left="720" w:hanging="360"/>
      </w:pPr>
      <w:rPr>
        <w:rFonts w:ascii="Symbol" w:eastAsia="Calibri" w:hAnsi="Symbol" w:cs="Times New Roman" w:hint="default"/>
      </w:rPr>
    </w:lvl>
    <w:lvl w:ilvl="1" w:tplc="332219C8">
      <w:numFmt w:val="bullet"/>
      <w:lvlText w:val="•"/>
      <w:lvlJc w:val="left"/>
      <w:pPr>
        <w:ind w:left="2490" w:hanging="1410"/>
      </w:pPr>
      <w:rPr>
        <w:rFonts w:ascii="Times New Roman" w:eastAsia="Calibri"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3C42A3D"/>
    <w:multiLevelType w:val="hybridMultilevel"/>
    <w:tmpl w:val="5C269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8FE"/>
    <w:rsid w:val="00000902"/>
    <w:rsid w:val="00025479"/>
    <w:rsid w:val="00025587"/>
    <w:rsid w:val="000323AB"/>
    <w:rsid w:val="000333E6"/>
    <w:rsid w:val="0003494D"/>
    <w:rsid w:val="00043F89"/>
    <w:rsid w:val="00047928"/>
    <w:rsid w:val="00047D28"/>
    <w:rsid w:val="000557A1"/>
    <w:rsid w:val="00056E2B"/>
    <w:rsid w:val="00072FF5"/>
    <w:rsid w:val="00074BFC"/>
    <w:rsid w:val="00076851"/>
    <w:rsid w:val="000769D2"/>
    <w:rsid w:val="00080CB0"/>
    <w:rsid w:val="000858F7"/>
    <w:rsid w:val="0009573F"/>
    <w:rsid w:val="000A4D32"/>
    <w:rsid w:val="000A6267"/>
    <w:rsid w:val="000A6AAD"/>
    <w:rsid w:val="000B3FAC"/>
    <w:rsid w:val="000B5911"/>
    <w:rsid w:val="000B764A"/>
    <w:rsid w:val="000C0EFD"/>
    <w:rsid w:val="000C22FE"/>
    <w:rsid w:val="000C3825"/>
    <w:rsid w:val="000C7146"/>
    <w:rsid w:val="000D41A6"/>
    <w:rsid w:val="000D4E3E"/>
    <w:rsid w:val="000E29AD"/>
    <w:rsid w:val="000E2BF2"/>
    <w:rsid w:val="000E3942"/>
    <w:rsid w:val="000F2BF1"/>
    <w:rsid w:val="00101912"/>
    <w:rsid w:val="00104345"/>
    <w:rsid w:val="001043E9"/>
    <w:rsid w:val="0010721F"/>
    <w:rsid w:val="00112A04"/>
    <w:rsid w:val="00117471"/>
    <w:rsid w:val="00124676"/>
    <w:rsid w:val="00130FC8"/>
    <w:rsid w:val="001340FF"/>
    <w:rsid w:val="00144BCD"/>
    <w:rsid w:val="00145448"/>
    <w:rsid w:val="0014733C"/>
    <w:rsid w:val="00153B39"/>
    <w:rsid w:val="00157A4B"/>
    <w:rsid w:val="00157CD7"/>
    <w:rsid w:val="00161F53"/>
    <w:rsid w:val="001620D8"/>
    <w:rsid w:val="001650BC"/>
    <w:rsid w:val="00167268"/>
    <w:rsid w:val="00171B9B"/>
    <w:rsid w:val="00173EDC"/>
    <w:rsid w:val="00175298"/>
    <w:rsid w:val="0017565A"/>
    <w:rsid w:val="00180D24"/>
    <w:rsid w:val="001813A9"/>
    <w:rsid w:val="001933F4"/>
    <w:rsid w:val="0019356B"/>
    <w:rsid w:val="00194915"/>
    <w:rsid w:val="001969ED"/>
    <w:rsid w:val="00196ABF"/>
    <w:rsid w:val="00196C3A"/>
    <w:rsid w:val="001A21F4"/>
    <w:rsid w:val="001A5008"/>
    <w:rsid w:val="001A5916"/>
    <w:rsid w:val="001B17A6"/>
    <w:rsid w:val="001B3342"/>
    <w:rsid w:val="001B6373"/>
    <w:rsid w:val="001B671C"/>
    <w:rsid w:val="001B6A77"/>
    <w:rsid w:val="001C4597"/>
    <w:rsid w:val="001C5B94"/>
    <w:rsid w:val="001D0C7D"/>
    <w:rsid w:val="001D306A"/>
    <w:rsid w:val="001D35FB"/>
    <w:rsid w:val="001D37ED"/>
    <w:rsid w:val="001E12DC"/>
    <w:rsid w:val="001E4294"/>
    <w:rsid w:val="001E592E"/>
    <w:rsid w:val="001F15D2"/>
    <w:rsid w:val="001F2081"/>
    <w:rsid w:val="001F4031"/>
    <w:rsid w:val="00210FE2"/>
    <w:rsid w:val="0023074F"/>
    <w:rsid w:val="00234553"/>
    <w:rsid w:val="00234E51"/>
    <w:rsid w:val="002371E3"/>
    <w:rsid w:val="002371FD"/>
    <w:rsid w:val="00244246"/>
    <w:rsid w:val="00247B21"/>
    <w:rsid w:val="00250C4E"/>
    <w:rsid w:val="0025253F"/>
    <w:rsid w:val="0026046C"/>
    <w:rsid w:val="00265129"/>
    <w:rsid w:val="00265CCD"/>
    <w:rsid w:val="00277A61"/>
    <w:rsid w:val="002863F9"/>
    <w:rsid w:val="00292891"/>
    <w:rsid w:val="00294A60"/>
    <w:rsid w:val="002A5380"/>
    <w:rsid w:val="002B3C47"/>
    <w:rsid w:val="002D0036"/>
    <w:rsid w:val="002D10B6"/>
    <w:rsid w:val="002D1509"/>
    <w:rsid w:val="002D25FE"/>
    <w:rsid w:val="002D4360"/>
    <w:rsid w:val="002D6934"/>
    <w:rsid w:val="002E0FB3"/>
    <w:rsid w:val="002E1406"/>
    <w:rsid w:val="002E475B"/>
    <w:rsid w:val="002E7CC8"/>
    <w:rsid w:val="002F265C"/>
    <w:rsid w:val="00302067"/>
    <w:rsid w:val="003039C4"/>
    <w:rsid w:val="00303E32"/>
    <w:rsid w:val="003178A2"/>
    <w:rsid w:val="00320A0D"/>
    <w:rsid w:val="00322594"/>
    <w:rsid w:val="00331D57"/>
    <w:rsid w:val="0033382B"/>
    <w:rsid w:val="0034072F"/>
    <w:rsid w:val="003434AA"/>
    <w:rsid w:val="0034426E"/>
    <w:rsid w:val="00344EDD"/>
    <w:rsid w:val="0034542B"/>
    <w:rsid w:val="003479FD"/>
    <w:rsid w:val="003635DD"/>
    <w:rsid w:val="00367023"/>
    <w:rsid w:val="0037228E"/>
    <w:rsid w:val="003741C0"/>
    <w:rsid w:val="00376C9D"/>
    <w:rsid w:val="0038073B"/>
    <w:rsid w:val="003842F1"/>
    <w:rsid w:val="00384D07"/>
    <w:rsid w:val="00387831"/>
    <w:rsid w:val="00390B04"/>
    <w:rsid w:val="00393492"/>
    <w:rsid w:val="003B25BA"/>
    <w:rsid w:val="003B48B0"/>
    <w:rsid w:val="003B6E0E"/>
    <w:rsid w:val="003C55C2"/>
    <w:rsid w:val="003E214A"/>
    <w:rsid w:val="003E48E2"/>
    <w:rsid w:val="003E6FDE"/>
    <w:rsid w:val="003F6D58"/>
    <w:rsid w:val="00407529"/>
    <w:rsid w:val="00415B0B"/>
    <w:rsid w:val="00420F29"/>
    <w:rsid w:val="00423C04"/>
    <w:rsid w:val="00424E95"/>
    <w:rsid w:val="00427015"/>
    <w:rsid w:val="0043290F"/>
    <w:rsid w:val="00436EB3"/>
    <w:rsid w:val="004403CB"/>
    <w:rsid w:val="00445849"/>
    <w:rsid w:val="00445A88"/>
    <w:rsid w:val="00446BE3"/>
    <w:rsid w:val="00460781"/>
    <w:rsid w:val="00464190"/>
    <w:rsid w:val="00472A84"/>
    <w:rsid w:val="0047416D"/>
    <w:rsid w:val="00481141"/>
    <w:rsid w:val="004823AB"/>
    <w:rsid w:val="00484B29"/>
    <w:rsid w:val="00486A79"/>
    <w:rsid w:val="004906E6"/>
    <w:rsid w:val="004913F4"/>
    <w:rsid w:val="0049189C"/>
    <w:rsid w:val="0049407C"/>
    <w:rsid w:val="004A3635"/>
    <w:rsid w:val="004B1448"/>
    <w:rsid w:val="004B7FCF"/>
    <w:rsid w:val="004C0417"/>
    <w:rsid w:val="004C4CB1"/>
    <w:rsid w:val="004C7F01"/>
    <w:rsid w:val="004D2ABD"/>
    <w:rsid w:val="004E1323"/>
    <w:rsid w:val="004F3F1B"/>
    <w:rsid w:val="004F4186"/>
    <w:rsid w:val="004F56EB"/>
    <w:rsid w:val="005042AC"/>
    <w:rsid w:val="00507A5A"/>
    <w:rsid w:val="00515060"/>
    <w:rsid w:val="00523A2E"/>
    <w:rsid w:val="00526B94"/>
    <w:rsid w:val="00543A8D"/>
    <w:rsid w:val="00544BBC"/>
    <w:rsid w:val="0056006F"/>
    <w:rsid w:val="00572B67"/>
    <w:rsid w:val="00573360"/>
    <w:rsid w:val="00573521"/>
    <w:rsid w:val="005802FC"/>
    <w:rsid w:val="00581484"/>
    <w:rsid w:val="00582922"/>
    <w:rsid w:val="00583BE0"/>
    <w:rsid w:val="005908FA"/>
    <w:rsid w:val="00593513"/>
    <w:rsid w:val="005A0578"/>
    <w:rsid w:val="005A5E2D"/>
    <w:rsid w:val="005B22FD"/>
    <w:rsid w:val="005B6F87"/>
    <w:rsid w:val="005B7E46"/>
    <w:rsid w:val="005B7F4D"/>
    <w:rsid w:val="005C02D4"/>
    <w:rsid w:val="005C151D"/>
    <w:rsid w:val="005C3147"/>
    <w:rsid w:val="005C62CA"/>
    <w:rsid w:val="005C6B57"/>
    <w:rsid w:val="005D00FC"/>
    <w:rsid w:val="005D12A8"/>
    <w:rsid w:val="005E3941"/>
    <w:rsid w:val="005E3DC9"/>
    <w:rsid w:val="005E4A84"/>
    <w:rsid w:val="005E6EAB"/>
    <w:rsid w:val="005E7163"/>
    <w:rsid w:val="005F00FB"/>
    <w:rsid w:val="00601388"/>
    <w:rsid w:val="00604238"/>
    <w:rsid w:val="00605755"/>
    <w:rsid w:val="00613A78"/>
    <w:rsid w:val="006158EA"/>
    <w:rsid w:val="00617644"/>
    <w:rsid w:val="0062761A"/>
    <w:rsid w:val="006410C5"/>
    <w:rsid w:val="00643A3C"/>
    <w:rsid w:val="006451A6"/>
    <w:rsid w:val="00651085"/>
    <w:rsid w:val="00653C99"/>
    <w:rsid w:val="00654816"/>
    <w:rsid w:val="00656BDF"/>
    <w:rsid w:val="00667B9D"/>
    <w:rsid w:val="00674167"/>
    <w:rsid w:val="006742BC"/>
    <w:rsid w:val="006800AC"/>
    <w:rsid w:val="00681426"/>
    <w:rsid w:val="006848FE"/>
    <w:rsid w:val="00684EAD"/>
    <w:rsid w:val="00685B79"/>
    <w:rsid w:val="00685C5B"/>
    <w:rsid w:val="006876ED"/>
    <w:rsid w:val="00692430"/>
    <w:rsid w:val="006A1FA7"/>
    <w:rsid w:val="006A216F"/>
    <w:rsid w:val="006A2F99"/>
    <w:rsid w:val="006A690B"/>
    <w:rsid w:val="006B0346"/>
    <w:rsid w:val="006B2176"/>
    <w:rsid w:val="006C2BFB"/>
    <w:rsid w:val="006D04C5"/>
    <w:rsid w:val="006D4E73"/>
    <w:rsid w:val="006D5569"/>
    <w:rsid w:val="006E35B6"/>
    <w:rsid w:val="006F06C0"/>
    <w:rsid w:val="006F0804"/>
    <w:rsid w:val="007023CA"/>
    <w:rsid w:val="00705614"/>
    <w:rsid w:val="00705F5F"/>
    <w:rsid w:val="00706B9A"/>
    <w:rsid w:val="00710C63"/>
    <w:rsid w:val="00713776"/>
    <w:rsid w:val="00715088"/>
    <w:rsid w:val="00715663"/>
    <w:rsid w:val="00715B02"/>
    <w:rsid w:val="0072250E"/>
    <w:rsid w:val="00723410"/>
    <w:rsid w:val="00723D08"/>
    <w:rsid w:val="007248F4"/>
    <w:rsid w:val="0072672F"/>
    <w:rsid w:val="007329FA"/>
    <w:rsid w:val="00740930"/>
    <w:rsid w:val="007433E8"/>
    <w:rsid w:val="007437DF"/>
    <w:rsid w:val="0074579C"/>
    <w:rsid w:val="00773543"/>
    <w:rsid w:val="00781D78"/>
    <w:rsid w:val="0078321F"/>
    <w:rsid w:val="00784251"/>
    <w:rsid w:val="00786EDE"/>
    <w:rsid w:val="00787C3D"/>
    <w:rsid w:val="00790724"/>
    <w:rsid w:val="00795018"/>
    <w:rsid w:val="00796B0C"/>
    <w:rsid w:val="007A1D96"/>
    <w:rsid w:val="007A27F4"/>
    <w:rsid w:val="007A5A39"/>
    <w:rsid w:val="007A64D5"/>
    <w:rsid w:val="007B0F25"/>
    <w:rsid w:val="007B4534"/>
    <w:rsid w:val="007B7138"/>
    <w:rsid w:val="007C7BD7"/>
    <w:rsid w:val="007D4EF0"/>
    <w:rsid w:val="007E4EBB"/>
    <w:rsid w:val="007E5021"/>
    <w:rsid w:val="007E5E23"/>
    <w:rsid w:val="007F0E7A"/>
    <w:rsid w:val="007F30D8"/>
    <w:rsid w:val="008106BB"/>
    <w:rsid w:val="008116E3"/>
    <w:rsid w:val="00817666"/>
    <w:rsid w:val="00825E13"/>
    <w:rsid w:val="00833CE8"/>
    <w:rsid w:val="00835732"/>
    <w:rsid w:val="00840D2B"/>
    <w:rsid w:val="00846F69"/>
    <w:rsid w:val="008515FE"/>
    <w:rsid w:val="008523B4"/>
    <w:rsid w:val="00856AE7"/>
    <w:rsid w:val="00862742"/>
    <w:rsid w:val="00863F7E"/>
    <w:rsid w:val="00876C9D"/>
    <w:rsid w:val="00876DAC"/>
    <w:rsid w:val="00880706"/>
    <w:rsid w:val="0088114D"/>
    <w:rsid w:val="008815CF"/>
    <w:rsid w:val="00895E5D"/>
    <w:rsid w:val="00896B14"/>
    <w:rsid w:val="008A1C84"/>
    <w:rsid w:val="008A38C8"/>
    <w:rsid w:val="008A68AD"/>
    <w:rsid w:val="008A6E5A"/>
    <w:rsid w:val="008B3A14"/>
    <w:rsid w:val="008B62E6"/>
    <w:rsid w:val="008B6B2A"/>
    <w:rsid w:val="008B706D"/>
    <w:rsid w:val="008C262A"/>
    <w:rsid w:val="008C4609"/>
    <w:rsid w:val="008C6118"/>
    <w:rsid w:val="008D0145"/>
    <w:rsid w:val="008D6028"/>
    <w:rsid w:val="008E3DD1"/>
    <w:rsid w:val="008E5476"/>
    <w:rsid w:val="008F1324"/>
    <w:rsid w:val="008F27E8"/>
    <w:rsid w:val="008F39CE"/>
    <w:rsid w:val="009064ED"/>
    <w:rsid w:val="00914320"/>
    <w:rsid w:val="00916FFC"/>
    <w:rsid w:val="00941483"/>
    <w:rsid w:val="00945C26"/>
    <w:rsid w:val="00946564"/>
    <w:rsid w:val="00947787"/>
    <w:rsid w:val="00951731"/>
    <w:rsid w:val="00955A95"/>
    <w:rsid w:val="0095628B"/>
    <w:rsid w:val="00956526"/>
    <w:rsid w:val="009600E0"/>
    <w:rsid w:val="009609BA"/>
    <w:rsid w:val="00964D71"/>
    <w:rsid w:val="00967075"/>
    <w:rsid w:val="00967442"/>
    <w:rsid w:val="00970E7E"/>
    <w:rsid w:val="00974D02"/>
    <w:rsid w:val="0098007F"/>
    <w:rsid w:val="0098413D"/>
    <w:rsid w:val="009A3926"/>
    <w:rsid w:val="009D4D5E"/>
    <w:rsid w:val="009D4DFC"/>
    <w:rsid w:val="009E1B08"/>
    <w:rsid w:val="009F01CD"/>
    <w:rsid w:val="009F0D24"/>
    <w:rsid w:val="009F3399"/>
    <w:rsid w:val="00A01240"/>
    <w:rsid w:val="00A02806"/>
    <w:rsid w:val="00A04BB3"/>
    <w:rsid w:val="00A05173"/>
    <w:rsid w:val="00A11CA5"/>
    <w:rsid w:val="00A14C48"/>
    <w:rsid w:val="00A24055"/>
    <w:rsid w:val="00A243AB"/>
    <w:rsid w:val="00A31E39"/>
    <w:rsid w:val="00A417D2"/>
    <w:rsid w:val="00A46432"/>
    <w:rsid w:val="00A46C55"/>
    <w:rsid w:val="00A50F76"/>
    <w:rsid w:val="00A5391C"/>
    <w:rsid w:val="00A70161"/>
    <w:rsid w:val="00A70462"/>
    <w:rsid w:val="00A80762"/>
    <w:rsid w:val="00A87979"/>
    <w:rsid w:val="00AA13A2"/>
    <w:rsid w:val="00AA25B4"/>
    <w:rsid w:val="00AA4DF5"/>
    <w:rsid w:val="00AA6EEF"/>
    <w:rsid w:val="00AB33E4"/>
    <w:rsid w:val="00AB40C7"/>
    <w:rsid w:val="00AB4195"/>
    <w:rsid w:val="00AB583A"/>
    <w:rsid w:val="00AB587B"/>
    <w:rsid w:val="00AC3723"/>
    <w:rsid w:val="00AC3B58"/>
    <w:rsid w:val="00AC4724"/>
    <w:rsid w:val="00AD20A8"/>
    <w:rsid w:val="00AE2091"/>
    <w:rsid w:val="00AE2868"/>
    <w:rsid w:val="00AE2E5A"/>
    <w:rsid w:val="00AE5203"/>
    <w:rsid w:val="00AE6299"/>
    <w:rsid w:val="00AE6AB4"/>
    <w:rsid w:val="00AF3218"/>
    <w:rsid w:val="00AF3739"/>
    <w:rsid w:val="00AF62C7"/>
    <w:rsid w:val="00B01D99"/>
    <w:rsid w:val="00B03C61"/>
    <w:rsid w:val="00B04D19"/>
    <w:rsid w:val="00B06FF1"/>
    <w:rsid w:val="00B0797F"/>
    <w:rsid w:val="00B1433F"/>
    <w:rsid w:val="00B14786"/>
    <w:rsid w:val="00B152D3"/>
    <w:rsid w:val="00B25F96"/>
    <w:rsid w:val="00B26254"/>
    <w:rsid w:val="00B32A93"/>
    <w:rsid w:val="00B37493"/>
    <w:rsid w:val="00B41A06"/>
    <w:rsid w:val="00B42371"/>
    <w:rsid w:val="00B47CC7"/>
    <w:rsid w:val="00B56552"/>
    <w:rsid w:val="00B63CE5"/>
    <w:rsid w:val="00B72A21"/>
    <w:rsid w:val="00B72EF5"/>
    <w:rsid w:val="00B767BD"/>
    <w:rsid w:val="00B81061"/>
    <w:rsid w:val="00B819F3"/>
    <w:rsid w:val="00B922B3"/>
    <w:rsid w:val="00B96297"/>
    <w:rsid w:val="00B9791A"/>
    <w:rsid w:val="00BA2C1E"/>
    <w:rsid w:val="00BA390A"/>
    <w:rsid w:val="00BA3C5D"/>
    <w:rsid w:val="00BA7EDB"/>
    <w:rsid w:val="00BB309A"/>
    <w:rsid w:val="00BB7515"/>
    <w:rsid w:val="00BC17AC"/>
    <w:rsid w:val="00BC66FA"/>
    <w:rsid w:val="00BC7A3F"/>
    <w:rsid w:val="00BD01E8"/>
    <w:rsid w:val="00BD6B40"/>
    <w:rsid w:val="00BE2753"/>
    <w:rsid w:val="00BE34F3"/>
    <w:rsid w:val="00BE36D0"/>
    <w:rsid w:val="00BE6F91"/>
    <w:rsid w:val="00BE7474"/>
    <w:rsid w:val="00BF47C7"/>
    <w:rsid w:val="00C02CB0"/>
    <w:rsid w:val="00C06954"/>
    <w:rsid w:val="00C12E7D"/>
    <w:rsid w:val="00C15AEE"/>
    <w:rsid w:val="00C21AA5"/>
    <w:rsid w:val="00C251F6"/>
    <w:rsid w:val="00C271EB"/>
    <w:rsid w:val="00C35BD5"/>
    <w:rsid w:val="00C403E8"/>
    <w:rsid w:val="00C41EE5"/>
    <w:rsid w:val="00C4273B"/>
    <w:rsid w:val="00C42EEB"/>
    <w:rsid w:val="00C52B43"/>
    <w:rsid w:val="00C60406"/>
    <w:rsid w:val="00C60F03"/>
    <w:rsid w:val="00C651AA"/>
    <w:rsid w:val="00C67C72"/>
    <w:rsid w:val="00C707A6"/>
    <w:rsid w:val="00C7332C"/>
    <w:rsid w:val="00C822B3"/>
    <w:rsid w:val="00C82944"/>
    <w:rsid w:val="00C9268F"/>
    <w:rsid w:val="00C941C3"/>
    <w:rsid w:val="00C951EF"/>
    <w:rsid w:val="00C96A5B"/>
    <w:rsid w:val="00CA3E55"/>
    <w:rsid w:val="00CA4662"/>
    <w:rsid w:val="00CA56B6"/>
    <w:rsid w:val="00CB2A68"/>
    <w:rsid w:val="00CB432B"/>
    <w:rsid w:val="00CB6065"/>
    <w:rsid w:val="00CC6866"/>
    <w:rsid w:val="00CD02E6"/>
    <w:rsid w:val="00CD1A47"/>
    <w:rsid w:val="00CD66C6"/>
    <w:rsid w:val="00CE237A"/>
    <w:rsid w:val="00CE399D"/>
    <w:rsid w:val="00CE4135"/>
    <w:rsid w:val="00CE4FF3"/>
    <w:rsid w:val="00CE5450"/>
    <w:rsid w:val="00CF14B5"/>
    <w:rsid w:val="00CF4666"/>
    <w:rsid w:val="00D011AA"/>
    <w:rsid w:val="00D04D3D"/>
    <w:rsid w:val="00D05506"/>
    <w:rsid w:val="00D10BC5"/>
    <w:rsid w:val="00D11D39"/>
    <w:rsid w:val="00D15F2A"/>
    <w:rsid w:val="00D251DD"/>
    <w:rsid w:val="00D25470"/>
    <w:rsid w:val="00D31B86"/>
    <w:rsid w:val="00D34879"/>
    <w:rsid w:val="00D40B41"/>
    <w:rsid w:val="00D47FA6"/>
    <w:rsid w:val="00D54D7C"/>
    <w:rsid w:val="00D55688"/>
    <w:rsid w:val="00D56E89"/>
    <w:rsid w:val="00D6046D"/>
    <w:rsid w:val="00D63157"/>
    <w:rsid w:val="00D643D5"/>
    <w:rsid w:val="00D64A65"/>
    <w:rsid w:val="00D64B33"/>
    <w:rsid w:val="00D657F2"/>
    <w:rsid w:val="00D70D91"/>
    <w:rsid w:val="00D73540"/>
    <w:rsid w:val="00D7586C"/>
    <w:rsid w:val="00D7668B"/>
    <w:rsid w:val="00D804B6"/>
    <w:rsid w:val="00D80A87"/>
    <w:rsid w:val="00D8417C"/>
    <w:rsid w:val="00D85220"/>
    <w:rsid w:val="00D87393"/>
    <w:rsid w:val="00D9327E"/>
    <w:rsid w:val="00DA4754"/>
    <w:rsid w:val="00DA7D27"/>
    <w:rsid w:val="00DA7F5A"/>
    <w:rsid w:val="00DB5C50"/>
    <w:rsid w:val="00DC3D1B"/>
    <w:rsid w:val="00DC4CF7"/>
    <w:rsid w:val="00DD2C4E"/>
    <w:rsid w:val="00DD3906"/>
    <w:rsid w:val="00DD78FA"/>
    <w:rsid w:val="00DE0A8B"/>
    <w:rsid w:val="00DE107D"/>
    <w:rsid w:val="00DE4FC8"/>
    <w:rsid w:val="00DE5374"/>
    <w:rsid w:val="00DE79A0"/>
    <w:rsid w:val="00DF1EC7"/>
    <w:rsid w:val="00DF22EF"/>
    <w:rsid w:val="00DF3354"/>
    <w:rsid w:val="00DF4A3F"/>
    <w:rsid w:val="00E04586"/>
    <w:rsid w:val="00E1102E"/>
    <w:rsid w:val="00E11E91"/>
    <w:rsid w:val="00E1372D"/>
    <w:rsid w:val="00E14C60"/>
    <w:rsid w:val="00E17C1D"/>
    <w:rsid w:val="00E21994"/>
    <w:rsid w:val="00E32F11"/>
    <w:rsid w:val="00E3332A"/>
    <w:rsid w:val="00E56A21"/>
    <w:rsid w:val="00E57E0D"/>
    <w:rsid w:val="00E62A84"/>
    <w:rsid w:val="00E65EA0"/>
    <w:rsid w:val="00E65FFC"/>
    <w:rsid w:val="00E71ADD"/>
    <w:rsid w:val="00E73FCA"/>
    <w:rsid w:val="00E76883"/>
    <w:rsid w:val="00E77884"/>
    <w:rsid w:val="00E80CF5"/>
    <w:rsid w:val="00E83032"/>
    <w:rsid w:val="00E832FE"/>
    <w:rsid w:val="00E83FF5"/>
    <w:rsid w:val="00EA5634"/>
    <w:rsid w:val="00EA65BB"/>
    <w:rsid w:val="00EA76BA"/>
    <w:rsid w:val="00EB4250"/>
    <w:rsid w:val="00EC2BB5"/>
    <w:rsid w:val="00EC585E"/>
    <w:rsid w:val="00EE11C7"/>
    <w:rsid w:val="00EE1F52"/>
    <w:rsid w:val="00EE26B4"/>
    <w:rsid w:val="00EE5E1E"/>
    <w:rsid w:val="00EF0873"/>
    <w:rsid w:val="00F00F2C"/>
    <w:rsid w:val="00F10B07"/>
    <w:rsid w:val="00F121BE"/>
    <w:rsid w:val="00F15BA1"/>
    <w:rsid w:val="00F16CFF"/>
    <w:rsid w:val="00F33B50"/>
    <w:rsid w:val="00F44F9D"/>
    <w:rsid w:val="00F612CC"/>
    <w:rsid w:val="00F62369"/>
    <w:rsid w:val="00F6659E"/>
    <w:rsid w:val="00F66F50"/>
    <w:rsid w:val="00F67C61"/>
    <w:rsid w:val="00F744A0"/>
    <w:rsid w:val="00F83C33"/>
    <w:rsid w:val="00F870E3"/>
    <w:rsid w:val="00F9666D"/>
    <w:rsid w:val="00FA0286"/>
    <w:rsid w:val="00FA03FD"/>
    <w:rsid w:val="00FA5F48"/>
    <w:rsid w:val="00FB072E"/>
    <w:rsid w:val="00FB49C5"/>
    <w:rsid w:val="00FC127B"/>
    <w:rsid w:val="00FC71DE"/>
    <w:rsid w:val="00FD199A"/>
    <w:rsid w:val="00FD685F"/>
    <w:rsid w:val="00FD7FEE"/>
    <w:rsid w:val="00FE17CF"/>
    <w:rsid w:val="00FF2950"/>
    <w:rsid w:val="00FF6743"/>
    <w:rsid w:val="00FF7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573AA56-B4E7-4917-990B-B71992DB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8E3DD1"/>
    <w:rPr>
      <w:b/>
      <w:bCs/>
    </w:rPr>
  </w:style>
  <w:style w:type="character" w:styleId="Hyperlink">
    <w:name w:val="Hyperlink"/>
    <w:rsid w:val="00244246"/>
    <w:rPr>
      <w:color w:val="0000FF"/>
      <w:u w:val="single"/>
    </w:rPr>
  </w:style>
  <w:style w:type="character" w:styleId="Refdenotaderodap">
    <w:name w:val="footnote reference"/>
    <w:rsid w:val="00244246"/>
    <w:rPr>
      <w:vertAlign w:val="superscript"/>
    </w:rPr>
  </w:style>
  <w:style w:type="character" w:styleId="CitaoHTML">
    <w:name w:val="HTML Cite"/>
    <w:rsid w:val="00244246"/>
    <w:rPr>
      <w:i/>
      <w:iCs/>
    </w:rPr>
  </w:style>
  <w:style w:type="paragraph" w:styleId="Rodap">
    <w:name w:val="footer"/>
    <w:basedOn w:val="Normal"/>
    <w:link w:val="RodapChar"/>
    <w:uiPriority w:val="99"/>
    <w:rsid w:val="002D6934"/>
    <w:pPr>
      <w:tabs>
        <w:tab w:val="center" w:pos="4419"/>
        <w:tab w:val="right" w:pos="8838"/>
      </w:tabs>
    </w:pPr>
    <w:rPr>
      <w:lang w:val="x-none" w:eastAsia="x-none"/>
    </w:rPr>
  </w:style>
  <w:style w:type="character" w:styleId="Nmerodepgina">
    <w:name w:val="page number"/>
    <w:basedOn w:val="Fontepargpadro"/>
    <w:rsid w:val="002D6934"/>
  </w:style>
  <w:style w:type="paragraph" w:styleId="Textodenotaderodap">
    <w:name w:val="footnote text"/>
    <w:basedOn w:val="Normal"/>
    <w:link w:val="TextodenotaderodapChar"/>
    <w:rsid w:val="00AE6299"/>
    <w:pPr>
      <w:widowControl w:val="0"/>
      <w:suppressLineNumbers/>
      <w:suppressAutoHyphens/>
      <w:ind w:left="283" w:hanging="283"/>
    </w:pPr>
    <w:rPr>
      <w:rFonts w:eastAsia="SimSun" w:cs="Mangal"/>
      <w:kern w:val="1"/>
      <w:sz w:val="20"/>
      <w:szCs w:val="20"/>
      <w:lang w:val="x-none" w:eastAsia="hi-IN" w:bidi="hi-IN"/>
    </w:rPr>
  </w:style>
  <w:style w:type="character" w:customStyle="1" w:styleId="TextodenotaderodapChar">
    <w:name w:val="Texto de nota de rodapé Char"/>
    <w:link w:val="Textodenotaderodap"/>
    <w:rsid w:val="00AE6299"/>
    <w:rPr>
      <w:rFonts w:eastAsia="SimSun" w:cs="Mangal"/>
      <w:kern w:val="1"/>
      <w:lang w:eastAsia="hi-IN" w:bidi="hi-IN"/>
    </w:rPr>
  </w:style>
  <w:style w:type="paragraph" w:styleId="Cabealho">
    <w:name w:val="header"/>
    <w:basedOn w:val="Normal"/>
    <w:link w:val="CabealhoChar"/>
    <w:uiPriority w:val="99"/>
    <w:unhideWhenUsed/>
    <w:rsid w:val="00AD20A8"/>
    <w:pPr>
      <w:tabs>
        <w:tab w:val="center" w:pos="4252"/>
        <w:tab w:val="right" w:pos="8504"/>
      </w:tabs>
    </w:pPr>
    <w:rPr>
      <w:lang w:val="x-none" w:eastAsia="x-none"/>
    </w:rPr>
  </w:style>
  <w:style w:type="character" w:customStyle="1" w:styleId="CabealhoChar">
    <w:name w:val="Cabeçalho Char"/>
    <w:link w:val="Cabealho"/>
    <w:uiPriority w:val="99"/>
    <w:rsid w:val="00AD20A8"/>
    <w:rPr>
      <w:sz w:val="24"/>
      <w:szCs w:val="24"/>
    </w:rPr>
  </w:style>
  <w:style w:type="character" w:customStyle="1" w:styleId="RodapChar">
    <w:name w:val="Rodapé Char"/>
    <w:link w:val="Rodap"/>
    <w:uiPriority w:val="99"/>
    <w:rsid w:val="00786EDE"/>
    <w:rPr>
      <w:sz w:val="24"/>
      <w:szCs w:val="24"/>
    </w:rPr>
  </w:style>
  <w:style w:type="paragraph" w:styleId="Textodebalo">
    <w:name w:val="Balloon Text"/>
    <w:basedOn w:val="Normal"/>
    <w:link w:val="TextodebaloChar"/>
    <w:uiPriority w:val="99"/>
    <w:semiHidden/>
    <w:unhideWhenUsed/>
    <w:rsid w:val="00786EDE"/>
    <w:rPr>
      <w:rFonts w:ascii="Tahoma" w:hAnsi="Tahoma"/>
      <w:sz w:val="16"/>
      <w:szCs w:val="16"/>
      <w:lang w:val="x-none" w:eastAsia="x-none"/>
    </w:rPr>
  </w:style>
  <w:style w:type="character" w:customStyle="1" w:styleId="TextodebaloChar">
    <w:name w:val="Texto de balão Char"/>
    <w:link w:val="Textodebalo"/>
    <w:uiPriority w:val="99"/>
    <w:semiHidden/>
    <w:rsid w:val="00786EDE"/>
    <w:rPr>
      <w:rFonts w:ascii="Tahoma" w:hAnsi="Tahoma" w:cs="Tahoma"/>
      <w:sz w:val="16"/>
      <w:szCs w:val="16"/>
    </w:rPr>
  </w:style>
  <w:style w:type="paragraph" w:customStyle="1" w:styleId="Default">
    <w:name w:val="Default"/>
    <w:rsid w:val="007F30D8"/>
    <w:pPr>
      <w:autoSpaceDE w:val="0"/>
      <w:autoSpaceDN w:val="0"/>
      <w:adjustRightInd w:val="0"/>
    </w:pPr>
    <w:rPr>
      <w:color w:val="000000"/>
      <w:sz w:val="24"/>
      <w:szCs w:val="24"/>
    </w:rPr>
  </w:style>
  <w:style w:type="table" w:styleId="Tabelacomgrade">
    <w:name w:val="Table Grid"/>
    <w:basedOn w:val="Tabelanormal"/>
    <w:uiPriority w:val="59"/>
    <w:rsid w:val="00FA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semiHidden/>
    <w:unhideWhenUsed/>
    <w:rsid w:val="006410C5"/>
    <w:rPr>
      <w:sz w:val="16"/>
      <w:szCs w:val="16"/>
    </w:rPr>
  </w:style>
  <w:style w:type="paragraph" w:styleId="Textodecomentrio">
    <w:name w:val="annotation text"/>
    <w:basedOn w:val="Normal"/>
    <w:link w:val="TextodecomentrioChar"/>
    <w:uiPriority w:val="99"/>
    <w:unhideWhenUsed/>
    <w:rsid w:val="006410C5"/>
    <w:rPr>
      <w:sz w:val="20"/>
      <w:szCs w:val="20"/>
    </w:rPr>
  </w:style>
  <w:style w:type="character" w:customStyle="1" w:styleId="TextodecomentrioChar">
    <w:name w:val="Texto de comentário Char"/>
    <w:basedOn w:val="Fontepargpadro"/>
    <w:link w:val="Textodecomentrio"/>
    <w:uiPriority w:val="99"/>
    <w:rsid w:val="006410C5"/>
  </w:style>
  <w:style w:type="paragraph" w:styleId="Assuntodocomentrio">
    <w:name w:val="annotation subject"/>
    <w:basedOn w:val="Textodecomentrio"/>
    <w:next w:val="Textodecomentrio"/>
    <w:link w:val="AssuntodocomentrioChar"/>
    <w:uiPriority w:val="99"/>
    <w:semiHidden/>
    <w:unhideWhenUsed/>
    <w:rsid w:val="006410C5"/>
    <w:rPr>
      <w:b/>
      <w:bCs/>
    </w:rPr>
  </w:style>
  <w:style w:type="character" w:customStyle="1" w:styleId="AssuntodocomentrioChar">
    <w:name w:val="Assunto do comentário Char"/>
    <w:link w:val="Assuntodocomentrio"/>
    <w:uiPriority w:val="99"/>
    <w:semiHidden/>
    <w:rsid w:val="006410C5"/>
    <w:rPr>
      <w:b/>
      <w:bCs/>
    </w:rPr>
  </w:style>
  <w:style w:type="paragraph" w:styleId="PargrafodaLista">
    <w:name w:val="List Paragraph"/>
    <w:basedOn w:val="Normal"/>
    <w:qFormat/>
    <w:rsid w:val="000B5911"/>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543A8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0676">
      <w:bodyDiv w:val="1"/>
      <w:marLeft w:val="0"/>
      <w:marRight w:val="0"/>
      <w:marTop w:val="0"/>
      <w:marBottom w:val="0"/>
      <w:divBdr>
        <w:top w:val="none" w:sz="0" w:space="0" w:color="auto"/>
        <w:left w:val="none" w:sz="0" w:space="0" w:color="auto"/>
        <w:bottom w:val="none" w:sz="0" w:space="0" w:color="auto"/>
        <w:right w:val="none" w:sz="0" w:space="0" w:color="auto"/>
      </w:divBdr>
    </w:div>
    <w:div w:id="144713125">
      <w:bodyDiv w:val="1"/>
      <w:marLeft w:val="0"/>
      <w:marRight w:val="0"/>
      <w:marTop w:val="0"/>
      <w:marBottom w:val="0"/>
      <w:divBdr>
        <w:top w:val="none" w:sz="0" w:space="0" w:color="auto"/>
        <w:left w:val="none" w:sz="0" w:space="0" w:color="auto"/>
        <w:bottom w:val="none" w:sz="0" w:space="0" w:color="auto"/>
        <w:right w:val="none" w:sz="0" w:space="0" w:color="auto"/>
      </w:divBdr>
    </w:div>
    <w:div w:id="153225829">
      <w:bodyDiv w:val="1"/>
      <w:marLeft w:val="0"/>
      <w:marRight w:val="0"/>
      <w:marTop w:val="0"/>
      <w:marBottom w:val="0"/>
      <w:divBdr>
        <w:top w:val="none" w:sz="0" w:space="0" w:color="auto"/>
        <w:left w:val="none" w:sz="0" w:space="0" w:color="auto"/>
        <w:bottom w:val="none" w:sz="0" w:space="0" w:color="auto"/>
        <w:right w:val="none" w:sz="0" w:space="0" w:color="auto"/>
      </w:divBdr>
      <w:divsChild>
        <w:div w:id="1543639181">
          <w:marLeft w:val="547"/>
          <w:marRight w:val="0"/>
          <w:marTop w:val="106"/>
          <w:marBottom w:val="0"/>
          <w:divBdr>
            <w:top w:val="none" w:sz="0" w:space="0" w:color="auto"/>
            <w:left w:val="none" w:sz="0" w:space="0" w:color="auto"/>
            <w:bottom w:val="none" w:sz="0" w:space="0" w:color="auto"/>
            <w:right w:val="none" w:sz="0" w:space="0" w:color="auto"/>
          </w:divBdr>
        </w:div>
      </w:divsChild>
    </w:div>
    <w:div w:id="167796097">
      <w:bodyDiv w:val="1"/>
      <w:marLeft w:val="0"/>
      <w:marRight w:val="0"/>
      <w:marTop w:val="0"/>
      <w:marBottom w:val="0"/>
      <w:divBdr>
        <w:top w:val="none" w:sz="0" w:space="0" w:color="auto"/>
        <w:left w:val="none" w:sz="0" w:space="0" w:color="auto"/>
        <w:bottom w:val="none" w:sz="0" w:space="0" w:color="auto"/>
        <w:right w:val="none" w:sz="0" w:space="0" w:color="auto"/>
      </w:divBdr>
    </w:div>
    <w:div w:id="239557579">
      <w:bodyDiv w:val="1"/>
      <w:marLeft w:val="0"/>
      <w:marRight w:val="0"/>
      <w:marTop w:val="0"/>
      <w:marBottom w:val="0"/>
      <w:divBdr>
        <w:top w:val="none" w:sz="0" w:space="0" w:color="auto"/>
        <w:left w:val="none" w:sz="0" w:space="0" w:color="auto"/>
        <w:bottom w:val="none" w:sz="0" w:space="0" w:color="auto"/>
        <w:right w:val="none" w:sz="0" w:space="0" w:color="auto"/>
      </w:divBdr>
    </w:div>
    <w:div w:id="240676790">
      <w:bodyDiv w:val="1"/>
      <w:marLeft w:val="0"/>
      <w:marRight w:val="0"/>
      <w:marTop w:val="0"/>
      <w:marBottom w:val="0"/>
      <w:divBdr>
        <w:top w:val="none" w:sz="0" w:space="0" w:color="auto"/>
        <w:left w:val="none" w:sz="0" w:space="0" w:color="auto"/>
        <w:bottom w:val="none" w:sz="0" w:space="0" w:color="auto"/>
        <w:right w:val="none" w:sz="0" w:space="0" w:color="auto"/>
      </w:divBdr>
    </w:div>
    <w:div w:id="496968981">
      <w:bodyDiv w:val="1"/>
      <w:marLeft w:val="0"/>
      <w:marRight w:val="0"/>
      <w:marTop w:val="0"/>
      <w:marBottom w:val="0"/>
      <w:divBdr>
        <w:top w:val="none" w:sz="0" w:space="0" w:color="auto"/>
        <w:left w:val="none" w:sz="0" w:space="0" w:color="auto"/>
        <w:bottom w:val="none" w:sz="0" w:space="0" w:color="auto"/>
        <w:right w:val="none" w:sz="0" w:space="0" w:color="auto"/>
      </w:divBdr>
      <w:divsChild>
        <w:div w:id="1327170321">
          <w:marLeft w:val="547"/>
          <w:marRight w:val="0"/>
          <w:marTop w:val="106"/>
          <w:marBottom w:val="0"/>
          <w:divBdr>
            <w:top w:val="none" w:sz="0" w:space="0" w:color="auto"/>
            <w:left w:val="none" w:sz="0" w:space="0" w:color="auto"/>
            <w:bottom w:val="none" w:sz="0" w:space="0" w:color="auto"/>
            <w:right w:val="none" w:sz="0" w:space="0" w:color="auto"/>
          </w:divBdr>
        </w:div>
      </w:divsChild>
    </w:div>
    <w:div w:id="548566208">
      <w:bodyDiv w:val="1"/>
      <w:marLeft w:val="0"/>
      <w:marRight w:val="0"/>
      <w:marTop w:val="0"/>
      <w:marBottom w:val="0"/>
      <w:divBdr>
        <w:top w:val="none" w:sz="0" w:space="0" w:color="auto"/>
        <w:left w:val="none" w:sz="0" w:space="0" w:color="auto"/>
        <w:bottom w:val="none" w:sz="0" w:space="0" w:color="auto"/>
        <w:right w:val="none" w:sz="0" w:space="0" w:color="auto"/>
      </w:divBdr>
    </w:div>
    <w:div w:id="575670413">
      <w:bodyDiv w:val="1"/>
      <w:marLeft w:val="0"/>
      <w:marRight w:val="0"/>
      <w:marTop w:val="0"/>
      <w:marBottom w:val="0"/>
      <w:divBdr>
        <w:top w:val="none" w:sz="0" w:space="0" w:color="auto"/>
        <w:left w:val="none" w:sz="0" w:space="0" w:color="auto"/>
        <w:bottom w:val="none" w:sz="0" w:space="0" w:color="auto"/>
        <w:right w:val="none" w:sz="0" w:space="0" w:color="auto"/>
      </w:divBdr>
      <w:divsChild>
        <w:div w:id="427891871">
          <w:marLeft w:val="547"/>
          <w:marRight w:val="0"/>
          <w:marTop w:val="106"/>
          <w:marBottom w:val="0"/>
          <w:divBdr>
            <w:top w:val="none" w:sz="0" w:space="0" w:color="auto"/>
            <w:left w:val="none" w:sz="0" w:space="0" w:color="auto"/>
            <w:bottom w:val="none" w:sz="0" w:space="0" w:color="auto"/>
            <w:right w:val="none" w:sz="0" w:space="0" w:color="auto"/>
          </w:divBdr>
        </w:div>
      </w:divsChild>
    </w:div>
    <w:div w:id="661541997">
      <w:bodyDiv w:val="1"/>
      <w:marLeft w:val="0"/>
      <w:marRight w:val="0"/>
      <w:marTop w:val="0"/>
      <w:marBottom w:val="0"/>
      <w:divBdr>
        <w:top w:val="none" w:sz="0" w:space="0" w:color="auto"/>
        <w:left w:val="none" w:sz="0" w:space="0" w:color="auto"/>
        <w:bottom w:val="none" w:sz="0" w:space="0" w:color="auto"/>
        <w:right w:val="none" w:sz="0" w:space="0" w:color="auto"/>
      </w:divBdr>
    </w:div>
    <w:div w:id="808207078">
      <w:bodyDiv w:val="1"/>
      <w:marLeft w:val="0"/>
      <w:marRight w:val="0"/>
      <w:marTop w:val="0"/>
      <w:marBottom w:val="0"/>
      <w:divBdr>
        <w:top w:val="none" w:sz="0" w:space="0" w:color="auto"/>
        <w:left w:val="none" w:sz="0" w:space="0" w:color="auto"/>
        <w:bottom w:val="none" w:sz="0" w:space="0" w:color="auto"/>
        <w:right w:val="none" w:sz="0" w:space="0" w:color="auto"/>
      </w:divBdr>
    </w:div>
    <w:div w:id="891379692">
      <w:bodyDiv w:val="1"/>
      <w:marLeft w:val="0"/>
      <w:marRight w:val="0"/>
      <w:marTop w:val="0"/>
      <w:marBottom w:val="0"/>
      <w:divBdr>
        <w:top w:val="none" w:sz="0" w:space="0" w:color="auto"/>
        <w:left w:val="none" w:sz="0" w:space="0" w:color="auto"/>
        <w:bottom w:val="none" w:sz="0" w:space="0" w:color="auto"/>
        <w:right w:val="none" w:sz="0" w:space="0" w:color="auto"/>
      </w:divBdr>
    </w:div>
    <w:div w:id="894243757">
      <w:bodyDiv w:val="1"/>
      <w:marLeft w:val="0"/>
      <w:marRight w:val="0"/>
      <w:marTop w:val="0"/>
      <w:marBottom w:val="0"/>
      <w:divBdr>
        <w:top w:val="none" w:sz="0" w:space="0" w:color="auto"/>
        <w:left w:val="none" w:sz="0" w:space="0" w:color="auto"/>
        <w:bottom w:val="none" w:sz="0" w:space="0" w:color="auto"/>
        <w:right w:val="none" w:sz="0" w:space="0" w:color="auto"/>
      </w:divBdr>
    </w:div>
    <w:div w:id="914169588">
      <w:bodyDiv w:val="1"/>
      <w:marLeft w:val="0"/>
      <w:marRight w:val="0"/>
      <w:marTop w:val="0"/>
      <w:marBottom w:val="0"/>
      <w:divBdr>
        <w:top w:val="none" w:sz="0" w:space="0" w:color="auto"/>
        <w:left w:val="none" w:sz="0" w:space="0" w:color="auto"/>
        <w:bottom w:val="none" w:sz="0" w:space="0" w:color="auto"/>
        <w:right w:val="none" w:sz="0" w:space="0" w:color="auto"/>
      </w:divBdr>
    </w:div>
    <w:div w:id="942224048">
      <w:bodyDiv w:val="1"/>
      <w:marLeft w:val="0"/>
      <w:marRight w:val="0"/>
      <w:marTop w:val="0"/>
      <w:marBottom w:val="0"/>
      <w:divBdr>
        <w:top w:val="none" w:sz="0" w:space="0" w:color="auto"/>
        <w:left w:val="none" w:sz="0" w:space="0" w:color="auto"/>
        <w:bottom w:val="none" w:sz="0" w:space="0" w:color="auto"/>
        <w:right w:val="none" w:sz="0" w:space="0" w:color="auto"/>
      </w:divBdr>
    </w:div>
    <w:div w:id="997266260">
      <w:bodyDiv w:val="1"/>
      <w:marLeft w:val="0"/>
      <w:marRight w:val="0"/>
      <w:marTop w:val="0"/>
      <w:marBottom w:val="0"/>
      <w:divBdr>
        <w:top w:val="none" w:sz="0" w:space="0" w:color="auto"/>
        <w:left w:val="none" w:sz="0" w:space="0" w:color="auto"/>
        <w:bottom w:val="none" w:sz="0" w:space="0" w:color="auto"/>
        <w:right w:val="none" w:sz="0" w:space="0" w:color="auto"/>
      </w:divBdr>
    </w:div>
    <w:div w:id="1058430210">
      <w:bodyDiv w:val="1"/>
      <w:marLeft w:val="0"/>
      <w:marRight w:val="0"/>
      <w:marTop w:val="0"/>
      <w:marBottom w:val="0"/>
      <w:divBdr>
        <w:top w:val="none" w:sz="0" w:space="0" w:color="auto"/>
        <w:left w:val="none" w:sz="0" w:space="0" w:color="auto"/>
        <w:bottom w:val="none" w:sz="0" w:space="0" w:color="auto"/>
        <w:right w:val="none" w:sz="0" w:space="0" w:color="auto"/>
      </w:divBdr>
    </w:div>
    <w:div w:id="1157842541">
      <w:bodyDiv w:val="1"/>
      <w:marLeft w:val="0"/>
      <w:marRight w:val="0"/>
      <w:marTop w:val="0"/>
      <w:marBottom w:val="0"/>
      <w:divBdr>
        <w:top w:val="none" w:sz="0" w:space="0" w:color="auto"/>
        <w:left w:val="none" w:sz="0" w:space="0" w:color="auto"/>
        <w:bottom w:val="none" w:sz="0" w:space="0" w:color="auto"/>
        <w:right w:val="none" w:sz="0" w:space="0" w:color="auto"/>
      </w:divBdr>
    </w:div>
    <w:div w:id="1211840467">
      <w:bodyDiv w:val="1"/>
      <w:marLeft w:val="0"/>
      <w:marRight w:val="0"/>
      <w:marTop w:val="0"/>
      <w:marBottom w:val="0"/>
      <w:divBdr>
        <w:top w:val="none" w:sz="0" w:space="0" w:color="auto"/>
        <w:left w:val="none" w:sz="0" w:space="0" w:color="auto"/>
        <w:bottom w:val="none" w:sz="0" w:space="0" w:color="auto"/>
        <w:right w:val="none" w:sz="0" w:space="0" w:color="auto"/>
      </w:divBdr>
    </w:div>
    <w:div w:id="1270625896">
      <w:bodyDiv w:val="1"/>
      <w:marLeft w:val="0"/>
      <w:marRight w:val="0"/>
      <w:marTop w:val="0"/>
      <w:marBottom w:val="0"/>
      <w:divBdr>
        <w:top w:val="none" w:sz="0" w:space="0" w:color="auto"/>
        <w:left w:val="none" w:sz="0" w:space="0" w:color="auto"/>
        <w:bottom w:val="none" w:sz="0" w:space="0" w:color="auto"/>
        <w:right w:val="none" w:sz="0" w:space="0" w:color="auto"/>
      </w:divBdr>
    </w:div>
    <w:div w:id="1309017864">
      <w:bodyDiv w:val="1"/>
      <w:marLeft w:val="0"/>
      <w:marRight w:val="0"/>
      <w:marTop w:val="0"/>
      <w:marBottom w:val="0"/>
      <w:divBdr>
        <w:top w:val="none" w:sz="0" w:space="0" w:color="auto"/>
        <w:left w:val="none" w:sz="0" w:space="0" w:color="auto"/>
        <w:bottom w:val="none" w:sz="0" w:space="0" w:color="auto"/>
        <w:right w:val="none" w:sz="0" w:space="0" w:color="auto"/>
      </w:divBdr>
    </w:div>
    <w:div w:id="1383093671">
      <w:bodyDiv w:val="1"/>
      <w:marLeft w:val="0"/>
      <w:marRight w:val="0"/>
      <w:marTop w:val="0"/>
      <w:marBottom w:val="0"/>
      <w:divBdr>
        <w:top w:val="none" w:sz="0" w:space="0" w:color="auto"/>
        <w:left w:val="none" w:sz="0" w:space="0" w:color="auto"/>
        <w:bottom w:val="none" w:sz="0" w:space="0" w:color="auto"/>
        <w:right w:val="none" w:sz="0" w:space="0" w:color="auto"/>
      </w:divBdr>
    </w:div>
    <w:div w:id="1469710629">
      <w:bodyDiv w:val="1"/>
      <w:marLeft w:val="0"/>
      <w:marRight w:val="0"/>
      <w:marTop w:val="0"/>
      <w:marBottom w:val="0"/>
      <w:divBdr>
        <w:top w:val="none" w:sz="0" w:space="0" w:color="auto"/>
        <w:left w:val="none" w:sz="0" w:space="0" w:color="auto"/>
        <w:bottom w:val="none" w:sz="0" w:space="0" w:color="auto"/>
        <w:right w:val="none" w:sz="0" w:space="0" w:color="auto"/>
      </w:divBdr>
    </w:div>
    <w:div w:id="1611661324">
      <w:bodyDiv w:val="1"/>
      <w:marLeft w:val="0"/>
      <w:marRight w:val="0"/>
      <w:marTop w:val="0"/>
      <w:marBottom w:val="0"/>
      <w:divBdr>
        <w:top w:val="none" w:sz="0" w:space="0" w:color="auto"/>
        <w:left w:val="none" w:sz="0" w:space="0" w:color="auto"/>
        <w:bottom w:val="none" w:sz="0" w:space="0" w:color="auto"/>
        <w:right w:val="none" w:sz="0" w:space="0" w:color="auto"/>
      </w:divBdr>
      <w:divsChild>
        <w:div w:id="772288705">
          <w:marLeft w:val="0"/>
          <w:marRight w:val="0"/>
          <w:marTop w:val="0"/>
          <w:marBottom w:val="0"/>
          <w:divBdr>
            <w:top w:val="none" w:sz="0" w:space="0" w:color="auto"/>
            <w:left w:val="none" w:sz="0" w:space="0" w:color="auto"/>
            <w:bottom w:val="none" w:sz="0" w:space="0" w:color="auto"/>
            <w:right w:val="none" w:sz="0" w:space="0" w:color="auto"/>
          </w:divBdr>
        </w:div>
        <w:div w:id="1237936306">
          <w:marLeft w:val="0"/>
          <w:marRight w:val="0"/>
          <w:marTop w:val="0"/>
          <w:marBottom w:val="0"/>
          <w:divBdr>
            <w:top w:val="none" w:sz="0" w:space="0" w:color="auto"/>
            <w:left w:val="none" w:sz="0" w:space="0" w:color="auto"/>
            <w:bottom w:val="none" w:sz="0" w:space="0" w:color="auto"/>
            <w:right w:val="none" w:sz="0" w:space="0" w:color="auto"/>
          </w:divBdr>
        </w:div>
        <w:div w:id="1956910440">
          <w:marLeft w:val="0"/>
          <w:marRight w:val="0"/>
          <w:marTop w:val="0"/>
          <w:marBottom w:val="0"/>
          <w:divBdr>
            <w:top w:val="none" w:sz="0" w:space="0" w:color="auto"/>
            <w:left w:val="none" w:sz="0" w:space="0" w:color="auto"/>
            <w:bottom w:val="none" w:sz="0" w:space="0" w:color="auto"/>
            <w:right w:val="none" w:sz="0" w:space="0" w:color="auto"/>
          </w:divBdr>
        </w:div>
      </w:divsChild>
    </w:div>
    <w:div w:id="1816873819">
      <w:bodyDiv w:val="1"/>
      <w:marLeft w:val="0"/>
      <w:marRight w:val="0"/>
      <w:marTop w:val="0"/>
      <w:marBottom w:val="0"/>
      <w:divBdr>
        <w:top w:val="none" w:sz="0" w:space="0" w:color="auto"/>
        <w:left w:val="none" w:sz="0" w:space="0" w:color="auto"/>
        <w:bottom w:val="none" w:sz="0" w:space="0" w:color="auto"/>
        <w:right w:val="none" w:sz="0" w:space="0" w:color="auto"/>
      </w:divBdr>
    </w:div>
    <w:div w:id="1859006835">
      <w:bodyDiv w:val="1"/>
      <w:marLeft w:val="0"/>
      <w:marRight w:val="0"/>
      <w:marTop w:val="0"/>
      <w:marBottom w:val="0"/>
      <w:divBdr>
        <w:top w:val="none" w:sz="0" w:space="0" w:color="auto"/>
        <w:left w:val="none" w:sz="0" w:space="0" w:color="auto"/>
        <w:bottom w:val="none" w:sz="0" w:space="0" w:color="auto"/>
        <w:right w:val="none" w:sz="0" w:space="0" w:color="auto"/>
      </w:divBdr>
    </w:div>
    <w:div w:id="1887058988">
      <w:bodyDiv w:val="1"/>
      <w:marLeft w:val="0"/>
      <w:marRight w:val="0"/>
      <w:marTop w:val="0"/>
      <w:marBottom w:val="0"/>
      <w:divBdr>
        <w:top w:val="none" w:sz="0" w:space="0" w:color="auto"/>
        <w:left w:val="none" w:sz="0" w:space="0" w:color="auto"/>
        <w:bottom w:val="none" w:sz="0" w:space="0" w:color="auto"/>
        <w:right w:val="none" w:sz="0" w:space="0" w:color="auto"/>
      </w:divBdr>
    </w:div>
    <w:div w:id="1970355412">
      <w:bodyDiv w:val="1"/>
      <w:marLeft w:val="0"/>
      <w:marRight w:val="0"/>
      <w:marTop w:val="0"/>
      <w:marBottom w:val="0"/>
      <w:divBdr>
        <w:top w:val="none" w:sz="0" w:space="0" w:color="auto"/>
        <w:left w:val="none" w:sz="0" w:space="0" w:color="auto"/>
        <w:bottom w:val="none" w:sz="0" w:space="0" w:color="auto"/>
        <w:right w:val="none" w:sz="0" w:space="0" w:color="auto"/>
      </w:divBdr>
    </w:div>
    <w:div w:id="2119132845">
      <w:bodyDiv w:val="1"/>
      <w:marLeft w:val="0"/>
      <w:marRight w:val="0"/>
      <w:marTop w:val="0"/>
      <w:marBottom w:val="0"/>
      <w:divBdr>
        <w:top w:val="none" w:sz="0" w:space="0" w:color="auto"/>
        <w:left w:val="none" w:sz="0" w:space="0" w:color="auto"/>
        <w:bottom w:val="none" w:sz="0" w:space="0" w:color="auto"/>
        <w:right w:val="none" w:sz="0" w:space="0" w:color="auto"/>
      </w:divBdr>
    </w:div>
    <w:div w:id="213575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o.org/forest-resources-assessmet/current-assessment/en/" TargetMode="External"/><Relationship Id="rId4" Type="http://schemas.openxmlformats.org/officeDocument/2006/relationships/settings" Target="settings.xml"/><Relationship Id="rId9" Type="http://schemas.openxmlformats.org/officeDocument/2006/relationships/hyperlink" Target="http://www.planalto.gov.br/ccivil_03/constituicao/constitui&#231;ao.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1942E-B30B-4E2A-A412-A78534000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5335</Words>
  <Characters>28811</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GESTÃO AMBIENTAL E DESENVOLVIMENTO LOCAL: EM QUE MEDIDA A GESTÃO AMBIENTAL PROMOVE E IMPACTA O DESENVOLVIMENTO LOCAL SUSTENTÁV</vt:lpstr>
    </vt:vector>
  </TitlesOfParts>
  <Company/>
  <LinksUpToDate>false</LinksUpToDate>
  <CharactersWithSpaces>34078</CharactersWithSpaces>
  <SharedDoc>false</SharedDoc>
  <HLinks>
    <vt:vector size="6" baseType="variant">
      <vt:variant>
        <vt:i4>10092600</vt:i4>
      </vt:variant>
      <vt:variant>
        <vt:i4>0</vt:i4>
      </vt:variant>
      <vt:variant>
        <vt:i4>0</vt:i4>
      </vt:variant>
      <vt:variant>
        <vt:i4>5</vt:i4>
      </vt:variant>
      <vt:variant>
        <vt:lpwstr>http://www.planalto.gov.br/ccivil_03/constituicao/constituiçao.htm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GESTÃO AMBIENTAL E DESENVOLVIMENTO LOCAL: EM QUE MEDIDA A GESTÃO AMBIENTAL PROMOVE E IMPACTA O DESENVOLVIMENTO LOCAL SUSTENTÁV</dc:title>
  <dc:creator>Rute</dc:creator>
  <cp:lastModifiedBy>Salenne</cp:lastModifiedBy>
  <cp:revision>4</cp:revision>
  <cp:lastPrinted>2014-09-27T03:47:00Z</cp:lastPrinted>
  <dcterms:created xsi:type="dcterms:W3CDTF">2017-07-06T04:59:00Z</dcterms:created>
  <dcterms:modified xsi:type="dcterms:W3CDTF">2017-07-06T15:41:00Z</dcterms:modified>
</cp:coreProperties>
</file>